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0077" w14:textId="77777777" w:rsidR="009D4B19" w:rsidRPr="004F68B1" w:rsidRDefault="009D4B19" w:rsidP="009D4B19">
      <w:pPr>
        <w:pStyle w:val="Header"/>
        <w:tabs>
          <w:tab w:val="right" w:pos="9639"/>
        </w:tabs>
        <w:jc w:val="both"/>
        <w:rPr>
          <w:rFonts w:eastAsia="Times New Roman"/>
          <w:sz w:val="24"/>
        </w:rPr>
      </w:pPr>
      <w:r w:rsidRPr="004F68B1">
        <w:rPr>
          <w:rFonts w:eastAsia="Times New Roman"/>
          <w:sz w:val="24"/>
        </w:rPr>
        <w:t>3GPP TSG RAN WG1 #105-e</w:t>
      </w:r>
      <w:r w:rsidRPr="004F68B1">
        <w:rPr>
          <w:rFonts w:eastAsia="Times New Roman"/>
          <w:sz w:val="24"/>
        </w:rPr>
        <w:tab/>
        <w:t>R1-2104819</w:t>
      </w:r>
    </w:p>
    <w:p w14:paraId="66D9D00B" w14:textId="2504E8C1" w:rsidR="009D4B19" w:rsidRPr="004F68B1" w:rsidRDefault="009D4B19" w:rsidP="009D4B19">
      <w:pPr>
        <w:pStyle w:val="Header"/>
        <w:tabs>
          <w:tab w:val="right" w:pos="9639"/>
        </w:tabs>
        <w:jc w:val="both"/>
        <w:rPr>
          <w:rFonts w:eastAsia="Times New Roman"/>
          <w:sz w:val="24"/>
        </w:rPr>
      </w:pPr>
      <w:r w:rsidRPr="004F68B1">
        <w:rPr>
          <w:rFonts w:eastAsia="Times New Roman"/>
          <w:sz w:val="24"/>
        </w:rPr>
        <w:t xml:space="preserve"> </w:t>
      </w:r>
    </w:p>
    <w:p w14:paraId="7C15AD34" w14:textId="4D0F25DD" w:rsidR="00620296" w:rsidRPr="004F68B1" w:rsidRDefault="009D4B19" w:rsidP="009D4B19">
      <w:pPr>
        <w:pStyle w:val="Header"/>
        <w:tabs>
          <w:tab w:val="right" w:pos="9639"/>
        </w:tabs>
        <w:jc w:val="both"/>
        <w:rPr>
          <w:i/>
          <w:sz w:val="32"/>
        </w:rPr>
      </w:pPr>
      <w:r w:rsidRPr="004F68B1">
        <w:rPr>
          <w:rFonts w:eastAsia="Times New Roman"/>
          <w:sz w:val="24"/>
        </w:rPr>
        <w:t>e-Meeting, May 10th – 27th, 2021</w:t>
      </w:r>
      <w:r w:rsidR="00620296" w:rsidRPr="004F68B1">
        <w:rPr>
          <w:sz w:val="24"/>
        </w:rPr>
        <w:tab/>
      </w:r>
    </w:p>
    <w:p w14:paraId="298F8AA9" w14:textId="77777777" w:rsidR="00DF4FF0" w:rsidRDefault="00DF4FF0" w:rsidP="00620296">
      <w:pPr>
        <w:tabs>
          <w:tab w:val="left" w:pos="1985"/>
        </w:tabs>
        <w:jc w:val="both"/>
        <w:rPr>
          <w:rFonts w:ascii="Arial" w:hAnsi="Arial"/>
          <w:b/>
          <w:sz w:val="24"/>
          <w:lang w:val="en-US"/>
        </w:rPr>
      </w:pPr>
    </w:p>
    <w:p w14:paraId="66A2A3CB" w14:textId="144B5884"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Agenda item:</w:t>
      </w:r>
      <w:r w:rsidRPr="004F68B1">
        <w:rPr>
          <w:rFonts w:ascii="Arial" w:hAnsi="Arial"/>
          <w:sz w:val="24"/>
          <w:lang w:val="en-US"/>
        </w:rPr>
        <w:tab/>
      </w:r>
      <w:bookmarkStart w:id="0" w:name="Source"/>
      <w:bookmarkEnd w:id="0"/>
      <w:r w:rsidR="00874392" w:rsidRPr="004F68B1">
        <w:rPr>
          <w:rFonts w:ascii="Arial" w:hAnsi="Arial"/>
          <w:sz w:val="24"/>
          <w:lang w:val="en-US"/>
        </w:rPr>
        <w:t>8.9.1</w:t>
      </w:r>
    </w:p>
    <w:p w14:paraId="08727EFD" w14:textId="77777777" w:rsidR="00620296" w:rsidRPr="004F68B1" w:rsidRDefault="00620296" w:rsidP="00620296">
      <w:pPr>
        <w:tabs>
          <w:tab w:val="left" w:pos="1985"/>
        </w:tabs>
        <w:jc w:val="both"/>
        <w:rPr>
          <w:rFonts w:ascii="Arial" w:hAnsi="Arial"/>
          <w:sz w:val="24"/>
          <w:lang w:val="en-US"/>
        </w:rPr>
      </w:pPr>
      <w:r w:rsidRPr="004F68B1">
        <w:rPr>
          <w:rFonts w:ascii="Arial" w:hAnsi="Arial"/>
          <w:b/>
          <w:sz w:val="24"/>
          <w:lang w:val="en-US"/>
        </w:rPr>
        <w:t xml:space="preserve">Source: </w:t>
      </w:r>
      <w:r w:rsidRPr="004F68B1">
        <w:rPr>
          <w:rFonts w:ascii="Arial" w:hAnsi="Arial"/>
          <w:b/>
          <w:sz w:val="24"/>
          <w:lang w:val="en-US"/>
        </w:rPr>
        <w:tab/>
      </w:r>
      <w:r w:rsidRPr="004F68B1">
        <w:rPr>
          <w:rFonts w:ascii="Arial" w:hAnsi="Arial"/>
          <w:sz w:val="24"/>
          <w:lang w:val="en-US"/>
        </w:rPr>
        <w:t>Qualcomm Incorporated</w:t>
      </w:r>
    </w:p>
    <w:p w14:paraId="2B7E5407" w14:textId="2614144E" w:rsidR="00620296" w:rsidRPr="004F68B1" w:rsidRDefault="00620296" w:rsidP="00620296">
      <w:pPr>
        <w:ind w:left="1988" w:hanging="1988"/>
        <w:jc w:val="both"/>
        <w:rPr>
          <w:rFonts w:ascii="Arial" w:hAnsi="Arial"/>
          <w:sz w:val="28"/>
          <w:lang w:val="en-US"/>
        </w:rPr>
      </w:pPr>
      <w:r w:rsidRPr="004F68B1">
        <w:rPr>
          <w:rFonts w:ascii="Arial" w:hAnsi="Arial"/>
          <w:b/>
          <w:sz w:val="24"/>
          <w:lang w:val="en-US"/>
        </w:rPr>
        <w:t>Title:</w:t>
      </w:r>
      <w:r w:rsidRPr="004F68B1">
        <w:rPr>
          <w:rFonts w:ascii="Arial" w:hAnsi="Arial"/>
          <w:sz w:val="24"/>
          <w:lang w:val="en-US"/>
        </w:rPr>
        <w:t xml:space="preserve"> </w:t>
      </w:r>
      <w:r w:rsidRPr="004F68B1">
        <w:rPr>
          <w:rFonts w:ascii="Arial" w:hAnsi="Arial"/>
          <w:sz w:val="22"/>
          <w:lang w:val="en-US"/>
        </w:rPr>
        <w:tab/>
      </w:r>
      <w:r w:rsidR="00874392" w:rsidRPr="004F68B1">
        <w:rPr>
          <w:rFonts w:ascii="Arial" w:hAnsi="Arial"/>
          <w:sz w:val="24"/>
          <w:lang w:val="en-US"/>
        </w:rPr>
        <w:t>Support of 16-QAM for NB-IoT</w:t>
      </w:r>
    </w:p>
    <w:p w14:paraId="412B4E4E" w14:textId="75646A95" w:rsidR="00B32506" w:rsidRPr="004F68B1" w:rsidRDefault="00620296" w:rsidP="008208F6">
      <w:pPr>
        <w:tabs>
          <w:tab w:val="left" w:pos="1985"/>
        </w:tabs>
        <w:ind w:right="-441"/>
        <w:jc w:val="both"/>
        <w:rPr>
          <w:rFonts w:ascii="Arial" w:hAnsi="Arial"/>
          <w:sz w:val="24"/>
          <w:lang w:val="en-US"/>
        </w:rPr>
      </w:pPr>
      <w:r w:rsidRPr="004F68B1">
        <w:rPr>
          <w:rFonts w:ascii="Arial" w:hAnsi="Arial"/>
          <w:b/>
          <w:sz w:val="24"/>
          <w:lang w:val="en-US"/>
        </w:rPr>
        <w:t>Document for:</w:t>
      </w:r>
      <w:r w:rsidRPr="004F68B1">
        <w:rPr>
          <w:rFonts w:ascii="Arial" w:hAnsi="Arial"/>
          <w:sz w:val="24"/>
          <w:lang w:val="en-US"/>
        </w:rPr>
        <w:tab/>
      </w:r>
      <w:bookmarkStart w:id="1" w:name="DocumentFor"/>
      <w:bookmarkEnd w:id="1"/>
      <w:r w:rsidRPr="004F68B1">
        <w:rPr>
          <w:rFonts w:ascii="Arial" w:hAnsi="Arial"/>
          <w:sz w:val="24"/>
          <w:lang w:val="en-US"/>
        </w:rPr>
        <w:t>Discussion and Decision</w:t>
      </w:r>
    </w:p>
    <w:p w14:paraId="2859D330" w14:textId="6EAD4AFC" w:rsidR="008208F6" w:rsidRPr="004F68B1" w:rsidRDefault="008208F6" w:rsidP="008208F6">
      <w:pPr>
        <w:tabs>
          <w:tab w:val="left" w:pos="1985"/>
        </w:tabs>
        <w:ind w:right="-441"/>
        <w:jc w:val="both"/>
        <w:rPr>
          <w:rFonts w:ascii="Arial" w:hAnsi="Arial"/>
          <w:sz w:val="24"/>
          <w:lang w:val="en-US"/>
        </w:rPr>
      </w:pPr>
    </w:p>
    <w:p w14:paraId="092284EF" w14:textId="1FBEBF87" w:rsidR="001B159B" w:rsidRPr="004F68B1" w:rsidRDefault="001B159B" w:rsidP="001B159B">
      <w:pPr>
        <w:pStyle w:val="Heading1"/>
        <w:numPr>
          <w:ilvl w:val="0"/>
          <w:numId w:val="1"/>
        </w:numPr>
        <w:tabs>
          <w:tab w:val="clear" w:pos="1140"/>
          <w:tab w:val="num" w:pos="720"/>
        </w:tabs>
        <w:ind w:left="720" w:hanging="720"/>
        <w:jc w:val="both"/>
        <w:rPr>
          <w:lang w:val="en-US"/>
        </w:rPr>
      </w:pPr>
      <w:r w:rsidRPr="004F68B1">
        <w:rPr>
          <w:lang w:val="en-US"/>
        </w:rPr>
        <w:t>Background</w:t>
      </w:r>
    </w:p>
    <w:p w14:paraId="0FD013CD" w14:textId="534809D3" w:rsidR="00874392" w:rsidRPr="004F68B1" w:rsidRDefault="00874392" w:rsidP="00874392">
      <w:pPr>
        <w:rPr>
          <w:lang w:val="en-US"/>
        </w:rPr>
      </w:pPr>
      <w:r w:rsidRPr="004F68B1">
        <w:rPr>
          <w:lang w:val="en-US"/>
        </w:rPr>
        <w:t>A new work item on additional enhancements for NB-IoT and LTE-MTC was approved in [1]. One of the objectives is to introduce 16-QAM for NB-IoT:</w:t>
      </w:r>
    </w:p>
    <w:p w14:paraId="51E44305" w14:textId="77777777" w:rsidR="00874392" w:rsidRPr="004F68B1" w:rsidRDefault="00874392" w:rsidP="00F93256">
      <w:pPr>
        <w:widowControl w:val="0"/>
        <w:numPr>
          <w:ilvl w:val="0"/>
          <w:numId w:val="3"/>
        </w:numPr>
        <w:spacing w:after="0" w:line="360" w:lineRule="auto"/>
        <w:contextualSpacing/>
        <w:jc w:val="both"/>
        <w:rPr>
          <w:rFonts w:eastAsia="DengXian"/>
          <w:lang w:val="en-US" w:eastAsia="zh-CN"/>
        </w:rPr>
      </w:pPr>
      <w:r w:rsidRPr="004F68B1">
        <w:rPr>
          <w:rFonts w:eastAsia="DengXian"/>
          <w:lang w:val="en-US" w:eastAsia="zh-CN"/>
        </w:rPr>
        <w:t xml:space="preserve">Specify 16-QAM for unicast in UL and DL, including necessary changes to DL power allocation for NPDSCH and DL TBS. This is to be specified without a new NB-IoT UE category. For DL, </w:t>
      </w:r>
      <w:r w:rsidRPr="004F68B1">
        <w:rPr>
          <w:rFonts w:eastAsia="SimSun"/>
          <w:lang w:val="en-US" w:eastAsia="zh-CN"/>
        </w:rPr>
        <w:t>increase in maximum TBS of e.g. 2x the Rel-16 maximum, and soft buffer size will be specified by modifying at least existing Category NB2. For UL, the maximum TBS is not increased.</w:t>
      </w:r>
      <w:r w:rsidRPr="004F68B1">
        <w:rPr>
          <w:rFonts w:eastAsia="DengXian"/>
          <w:lang w:val="en-US" w:eastAsia="zh-CN"/>
        </w:rPr>
        <w:t xml:space="preserve"> [NB-IoT] [RAN1, RAN4]</w:t>
      </w:r>
    </w:p>
    <w:p w14:paraId="335B7065" w14:textId="15A29AFC" w:rsidR="00874392" w:rsidRPr="004F68B1" w:rsidRDefault="00874392" w:rsidP="006C1D96">
      <w:pPr>
        <w:rPr>
          <w:lang w:val="en-US"/>
        </w:rPr>
      </w:pPr>
    </w:p>
    <w:p w14:paraId="1A207AEF" w14:textId="72B8B297" w:rsidR="00874392" w:rsidRPr="004F68B1" w:rsidRDefault="005F6860" w:rsidP="006C1D96">
      <w:pPr>
        <w:rPr>
          <w:lang w:val="en-US"/>
        </w:rPr>
      </w:pPr>
      <w:r w:rsidRPr="004F68B1">
        <w:rPr>
          <w:lang w:val="en-US"/>
        </w:rPr>
        <w:t>In RAN1#10</w:t>
      </w:r>
      <w:r w:rsidR="001D4791" w:rsidRPr="004F68B1">
        <w:rPr>
          <w:lang w:val="en-US"/>
        </w:rPr>
        <w:t>4</w:t>
      </w:r>
      <w:r w:rsidR="009D4B19" w:rsidRPr="004F68B1">
        <w:rPr>
          <w:lang w:val="en-US"/>
        </w:rPr>
        <w:t>b</w:t>
      </w:r>
      <w:r w:rsidRPr="004F68B1">
        <w:rPr>
          <w:lang w:val="en-US"/>
        </w:rPr>
        <w:t>-e, the following was agreed:</w:t>
      </w:r>
    </w:p>
    <w:p w14:paraId="2320C8BB" w14:textId="77777777" w:rsidR="001D4791" w:rsidRPr="004F68B1" w:rsidRDefault="001D4791" w:rsidP="006C1D96">
      <w:pPr>
        <w:rPr>
          <w:lang w:val="en-US"/>
        </w:rPr>
      </w:pPr>
    </w:p>
    <w:p w14:paraId="2E3A39B9" w14:textId="77777777" w:rsidR="009D4B19" w:rsidRPr="004F68B1" w:rsidRDefault="009D4B19" w:rsidP="009D4B19">
      <w:pPr>
        <w:rPr>
          <w:bCs/>
          <w:highlight w:val="green"/>
          <w:lang w:val="en-US" w:eastAsia="x-none"/>
        </w:rPr>
      </w:pPr>
      <w:r w:rsidRPr="004F68B1">
        <w:rPr>
          <w:bCs/>
          <w:highlight w:val="green"/>
          <w:lang w:val="en-US" w:eastAsia="x-none"/>
        </w:rPr>
        <w:t>Agreement</w:t>
      </w:r>
    </w:p>
    <w:p w14:paraId="0AC53A43" w14:textId="77777777" w:rsidR="009D4B19" w:rsidRPr="004F68B1" w:rsidRDefault="009D4B19" w:rsidP="009D4B19">
      <w:pPr>
        <w:rPr>
          <w:bCs/>
          <w:lang w:val="en-US" w:eastAsia="x-none"/>
        </w:rPr>
      </w:pPr>
      <w:r w:rsidRPr="004F68B1">
        <w:rPr>
          <w:bCs/>
          <w:lang w:val="en-US" w:eastAsia="x-none"/>
        </w:rPr>
        <w:t xml:space="preserve">Confirm the working assumption that the following TBS indices are introduced for downlink with modification in </w:t>
      </w:r>
      <w:r w:rsidRPr="004F68B1">
        <w:rPr>
          <w:bCs/>
          <w:color w:val="FF0000"/>
          <w:lang w:val="en-US" w:eastAsia="x-none"/>
        </w:rPr>
        <w:t>RED</w:t>
      </w:r>
      <w:r w:rsidRPr="004F68B1">
        <w:rPr>
          <w:bCs/>
          <w:lang w:val="en-US"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696"/>
        <w:gridCol w:w="572"/>
        <w:gridCol w:w="572"/>
        <w:gridCol w:w="572"/>
        <w:gridCol w:w="572"/>
        <w:gridCol w:w="572"/>
        <w:gridCol w:w="572"/>
        <w:gridCol w:w="572"/>
      </w:tblGrid>
      <w:tr w:rsidR="009D4B19" w:rsidRPr="004F68B1" w14:paraId="3F5B5E87" w14:textId="77777777" w:rsidTr="004D2BF8">
        <w:trPr>
          <w:cantSplit/>
          <w:jc w:val="center"/>
        </w:trPr>
        <w:tc>
          <w:tcPr>
            <w:tcW w:w="652" w:type="dxa"/>
            <w:vMerge w:val="restart"/>
            <w:tcBorders>
              <w:right w:val="double" w:sz="4" w:space="0" w:color="auto"/>
            </w:tcBorders>
            <w:shd w:val="clear" w:color="auto" w:fill="E0E0E0"/>
            <w:vAlign w:val="center"/>
          </w:tcPr>
          <w:p w14:paraId="4B58DDD4" w14:textId="77777777" w:rsidR="009D4B19" w:rsidRPr="004F68B1" w:rsidRDefault="009D4B19" w:rsidP="004D2BF8">
            <w:pPr>
              <w:pStyle w:val="TAH"/>
              <w:rPr>
                <w:rFonts w:cs="Arial"/>
                <w:b w:val="0"/>
                <w:bCs/>
                <w:szCs w:val="18"/>
                <w:lang w:val="en-US" w:eastAsia="en-US"/>
              </w:rPr>
            </w:pPr>
            <w:r w:rsidRPr="004F68B1">
              <w:rPr>
                <w:rFonts w:cs="Arial"/>
                <w:b w:val="0"/>
                <w:bCs/>
                <w:position w:val="-10"/>
                <w:szCs w:val="18"/>
                <w:lang w:val="en-US" w:eastAsia="en-US"/>
              </w:rPr>
              <w:object w:dxaOrig="400" w:dyaOrig="340" w14:anchorId="4C629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v:imagedata r:id="rId12" o:title=""/>
                </v:shape>
                <o:OLEObject Type="Embed" ProgID="Equation.3" ShapeID="_x0000_i1025" DrawAspect="Content" ObjectID="_1682278011" r:id="rId13"/>
              </w:object>
            </w:r>
          </w:p>
        </w:tc>
        <w:tc>
          <w:tcPr>
            <w:tcW w:w="0" w:type="auto"/>
            <w:gridSpan w:val="8"/>
            <w:tcBorders>
              <w:left w:val="double" w:sz="4" w:space="0" w:color="auto"/>
            </w:tcBorders>
            <w:shd w:val="clear" w:color="auto" w:fill="E0E0E0"/>
            <w:vAlign w:val="center"/>
          </w:tcPr>
          <w:p w14:paraId="2B42DE6A" w14:textId="77777777" w:rsidR="009D4B19" w:rsidRPr="004F68B1" w:rsidRDefault="009D4B19" w:rsidP="004D2BF8">
            <w:pPr>
              <w:pStyle w:val="TAH"/>
              <w:rPr>
                <w:rFonts w:cs="Arial"/>
                <w:b w:val="0"/>
                <w:bCs/>
                <w:szCs w:val="18"/>
                <w:lang w:val="en-US" w:eastAsia="en-US"/>
              </w:rPr>
            </w:pPr>
            <w:r w:rsidRPr="004F68B1">
              <w:rPr>
                <w:b w:val="0"/>
                <w:bCs/>
                <w:position w:val="-12"/>
                <w:lang w:val="en-US" w:eastAsia="en-US"/>
              </w:rPr>
              <w:object w:dxaOrig="340" w:dyaOrig="380" w14:anchorId="7E376568">
                <v:shape id="_x0000_i1026" type="#_x0000_t75" style="width:14pt;height:21pt" o:ole="">
                  <v:imagedata r:id="rId14" o:title=""/>
                </v:shape>
                <o:OLEObject Type="Embed" ProgID="Equation.DSMT4" ShapeID="_x0000_i1026" DrawAspect="Content" ObjectID="_1682278012" r:id="rId15"/>
              </w:object>
            </w:r>
          </w:p>
        </w:tc>
      </w:tr>
      <w:tr w:rsidR="009D4B19" w:rsidRPr="004F68B1" w14:paraId="4C16611A" w14:textId="77777777" w:rsidTr="004D2BF8">
        <w:trPr>
          <w:cantSplit/>
          <w:jc w:val="center"/>
        </w:trPr>
        <w:tc>
          <w:tcPr>
            <w:tcW w:w="652" w:type="dxa"/>
            <w:vMerge/>
            <w:tcBorders>
              <w:bottom w:val="double" w:sz="4" w:space="0" w:color="auto"/>
              <w:right w:val="double" w:sz="4" w:space="0" w:color="auto"/>
            </w:tcBorders>
            <w:shd w:val="clear" w:color="auto" w:fill="E0E0E0"/>
            <w:vAlign w:val="center"/>
          </w:tcPr>
          <w:p w14:paraId="2F46289A" w14:textId="77777777" w:rsidR="009D4B19" w:rsidRPr="004F68B1" w:rsidRDefault="009D4B19" w:rsidP="004D2BF8">
            <w:pPr>
              <w:pStyle w:val="TAH"/>
              <w:rPr>
                <w:rFonts w:cs="Arial"/>
                <w:b w:val="0"/>
                <w:bCs/>
                <w:szCs w:val="18"/>
                <w:lang w:val="en-US" w:eastAsia="en-US"/>
              </w:rPr>
            </w:pPr>
          </w:p>
        </w:tc>
        <w:tc>
          <w:tcPr>
            <w:tcW w:w="0" w:type="auto"/>
            <w:tcBorders>
              <w:left w:val="double" w:sz="4" w:space="0" w:color="auto"/>
              <w:bottom w:val="double" w:sz="4" w:space="0" w:color="auto"/>
            </w:tcBorders>
            <w:shd w:val="clear" w:color="auto" w:fill="E0E0E0"/>
            <w:vAlign w:val="center"/>
          </w:tcPr>
          <w:p w14:paraId="31906155"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0</w:t>
            </w:r>
          </w:p>
        </w:tc>
        <w:tc>
          <w:tcPr>
            <w:tcW w:w="0" w:type="auto"/>
            <w:tcBorders>
              <w:bottom w:val="double" w:sz="4" w:space="0" w:color="auto"/>
            </w:tcBorders>
            <w:shd w:val="clear" w:color="auto" w:fill="E0E0E0"/>
            <w:vAlign w:val="center"/>
          </w:tcPr>
          <w:p w14:paraId="0AF2B500"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1</w:t>
            </w:r>
          </w:p>
        </w:tc>
        <w:tc>
          <w:tcPr>
            <w:tcW w:w="0" w:type="auto"/>
            <w:tcBorders>
              <w:bottom w:val="double" w:sz="4" w:space="0" w:color="auto"/>
            </w:tcBorders>
            <w:shd w:val="clear" w:color="auto" w:fill="E0E0E0"/>
            <w:vAlign w:val="center"/>
          </w:tcPr>
          <w:p w14:paraId="1C16808B"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2</w:t>
            </w:r>
          </w:p>
        </w:tc>
        <w:tc>
          <w:tcPr>
            <w:tcW w:w="0" w:type="auto"/>
            <w:tcBorders>
              <w:bottom w:val="double" w:sz="4" w:space="0" w:color="auto"/>
            </w:tcBorders>
            <w:shd w:val="clear" w:color="auto" w:fill="E0E0E0"/>
            <w:vAlign w:val="center"/>
          </w:tcPr>
          <w:p w14:paraId="264E092C"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3</w:t>
            </w:r>
          </w:p>
        </w:tc>
        <w:tc>
          <w:tcPr>
            <w:tcW w:w="0" w:type="auto"/>
            <w:tcBorders>
              <w:bottom w:val="double" w:sz="4" w:space="0" w:color="auto"/>
            </w:tcBorders>
            <w:shd w:val="clear" w:color="auto" w:fill="E0E0E0"/>
            <w:vAlign w:val="center"/>
          </w:tcPr>
          <w:p w14:paraId="1AC2AB10"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4</w:t>
            </w:r>
          </w:p>
        </w:tc>
        <w:tc>
          <w:tcPr>
            <w:tcW w:w="0" w:type="auto"/>
            <w:tcBorders>
              <w:bottom w:val="double" w:sz="4" w:space="0" w:color="auto"/>
            </w:tcBorders>
            <w:shd w:val="clear" w:color="auto" w:fill="E0E0E0"/>
            <w:vAlign w:val="center"/>
          </w:tcPr>
          <w:p w14:paraId="392942A1"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5</w:t>
            </w:r>
          </w:p>
        </w:tc>
        <w:tc>
          <w:tcPr>
            <w:tcW w:w="0" w:type="auto"/>
            <w:tcBorders>
              <w:bottom w:val="double" w:sz="4" w:space="0" w:color="auto"/>
            </w:tcBorders>
            <w:shd w:val="clear" w:color="auto" w:fill="E0E0E0"/>
            <w:vAlign w:val="center"/>
          </w:tcPr>
          <w:p w14:paraId="7EEDEEB4"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6</w:t>
            </w:r>
          </w:p>
        </w:tc>
        <w:tc>
          <w:tcPr>
            <w:tcW w:w="0" w:type="auto"/>
            <w:tcBorders>
              <w:bottom w:val="double" w:sz="4" w:space="0" w:color="auto"/>
            </w:tcBorders>
            <w:shd w:val="clear" w:color="auto" w:fill="E0E0E0"/>
            <w:vAlign w:val="center"/>
          </w:tcPr>
          <w:p w14:paraId="08EB75E4" w14:textId="77777777" w:rsidR="009D4B19" w:rsidRPr="004F68B1" w:rsidRDefault="009D4B19" w:rsidP="004D2BF8">
            <w:pPr>
              <w:pStyle w:val="TAH"/>
              <w:rPr>
                <w:rFonts w:cs="Arial"/>
                <w:b w:val="0"/>
                <w:bCs/>
                <w:szCs w:val="18"/>
                <w:lang w:val="en-US" w:eastAsia="en-US"/>
              </w:rPr>
            </w:pPr>
            <w:r w:rsidRPr="004F68B1">
              <w:rPr>
                <w:rFonts w:cs="Arial"/>
                <w:b w:val="0"/>
                <w:bCs/>
                <w:szCs w:val="18"/>
                <w:lang w:val="en-US" w:eastAsia="en-US"/>
              </w:rPr>
              <w:t>7</w:t>
            </w:r>
          </w:p>
        </w:tc>
      </w:tr>
      <w:tr w:rsidR="009D4B19" w:rsidRPr="004F68B1" w14:paraId="5367C3FA"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19801E8"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14</w:t>
            </w:r>
          </w:p>
        </w:tc>
        <w:tc>
          <w:tcPr>
            <w:tcW w:w="0" w:type="auto"/>
            <w:tcBorders>
              <w:top w:val="single" w:sz="4" w:space="0" w:color="auto"/>
              <w:left w:val="double" w:sz="4" w:space="0" w:color="auto"/>
              <w:bottom w:val="single" w:sz="4" w:space="0" w:color="auto"/>
              <w:right w:val="single" w:sz="4" w:space="0" w:color="auto"/>
            </w:tcBorders>
          </w:tcPr>
          <w:p w14:paraId="0F8DE47F"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256</w:t>
            </w:r>
          </w:p>
        </w:tc>
        <w:tc>
          <w:tcPr>
            <w:tcW w:w="0" w:type="auto"/>
            <w:tcBorders>
              <w:top w:val="single" w:sz="4" w:space="0" w:color="auto"/>
              <w:left w:val="single" w:sz="4" w:space="0" w:color="auto"/>
              <w:bottom w:val="single" w:sz="4" w:space="0" w:color="auto"/>
              <w:right w:val="single" w:sz="4" w:space="0" w:color="auto"/>
            </w:tcBorders>
          </w:tcPr>
          <w:p w14:paraId="51838CFD"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552</w:t>
            </w:r>
          </w:p>
        </w:tc>
        <w:tc>
          <w:tcPr>
            <w:tcW w:w="0" w:type="auto"/>
            <w:tcBorders>
              <w:top w:val="single" w:sz="4" w:space="0" w:color="auto"/>
              <w:left w:val="single" w:sz="4" w:space="0" w:color="auto"/>
              <w:bottom w:val="single" w:sz="4" w:space="0" w:color="auto"/>
              <w:right w:val="single" w:sz="4" w:space="0" w:color="auto"/>
            </w:tcBorders>
          </w:tcPr>
          <w:p w14:paraId="3EC4B03C"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840</w:t>
            </w:r>
          </w:p>
        </w:tc>
        <w:tc>
          <w:tcPr>
            <w:tcW w:w="0" w:type="auto"/>
            <w:tcBorders>
              <w:top w:val="single" w:sz="4" w:space="0" w:color="auto"/>
              <w:left w:val="single" w:sz="4" w:space="0" w:color="auto"/>
              <w:bottom w:val="single" w:sz="4" w:space="0" w:color="auto"/>
              <w:right w:val="single" w:sz="4" w:space="0" w:color="auto"/>
            </w:tcBorders>
          </w:tcPr>
          <w:p w14:paraId="1AA9BDF9"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1128</w:t>
            </w:r>
          </w:p>
        </w:tc>
        <w:tc>
          <w:tcPr>
            <w:tcW w:w="0" w:type="auto"/>
            <w:tcBorders>
              <w:top w:val="single" w:sz="4" w:space="0" w:color="auto"/>
              <w:left w:val="single" w:sz="4" w:space="0" w:color="auto"/>
              <w:bottom w:val="single" w:sz="4" w:space="0" w:color="auto"/>
              <w:right w:val="single" w:sz="4" w:space="0" w:color="auto"/>
            </w:tcBorders>
          </w:tcPr>
          <w:p w14:paraId="7CE9BA91"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1416</w:t>
            </w:r>
          </w:p>
        </w:tc>
        <w:tc>
          <w:tcPr>
            <w:tcW w:w="0" w:type="auto"/>
            <w:tcBorders>
              <w:top w:val="single" w:sz="4" w:space="0" w:color="auto"/>
              <w:left w:val="single" w:sz="4" w:space="0" w:color="auto"/>
              <w:bottom w:val="single" w:sz="4" w:space="0" w:color="auto"/>
              <w:right w:val="single" w:sz="4" w:space="0" w:color="auto"/>
            </w:tcBorders>
          </w:tcPr>
          <w:p w14:paraId="2DA746F6"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1736</w:t>
            </w:r>
          </w:p>
        </w:tc>
        <w:tc>
          <w:tcPr>
            <w:tcW w:w="0" w:type="auto"/>
            <w:tcBorders>
              <w:top w:val="single" w:sz="4" w:space="0" w:color="auto"/>
              <w:left w:val="single" w:sz="4" w:space="0" w:color="auto"/>
              <w:bottom w:val="single" w:sz="4" w:space="0" w:color="auto"/>
              <w:right w:val="single" w:sz="4" w:space="0" w:color="auto"/>
            </w:tcBorders>
          </w:tcPr>
          <w:p w14:paraId="055A0FA1"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2280</w:t>
            </w:r>
          </w:p>
        </w:tc>
        <w:tc>
          <w:tcPr>
            <w:tcW w:w="0" w:type="auto"/>
            <w:tcBorders>
              <w:top w:val="single" w:sz="4" w:space="0" w:color="auto"/>
              <w:left w:val="single" w:sz="4" w:space="0" w:color="auto"/>
              <w:bottom w:val="single" w:sz="4" w:space="0" w:color="auto"/>
              <w:right w:val="single" w:sz="4" w:space="0" w:color="auto"/>
            </w:tcBorders>
          </w:tcPr>
          <w:p w14:paraId="6B16592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2856</w:t>
            </w:r>
          </w:p>
        </w:tc>
      </w:tr>
      <w:tr w:rsidR="009D4B19" w:rsidRPr="004F68B1" w14:paraId="4872B69F"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ED62350"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15</w:t>
            </w:r>
          </w:p>
        </w:tc>
        <w:tc>
          <w:tcPr>
            <w:tcW w:w="0" w:type="auto"/>
            <w:tcBorders>
              <w:top w:val="single" w:sz="4" w:space="0" w:color="auto"/>
              <w:left w:val="double" w:sz="4" w:space="0" w:color="auto"/>
              <w:bottom w:val="single" w:sz="4" w:space="0" w:color="auto"/>
              <w:right w:val="single" w:sz="4" w:space="0" w:color="auto"/>
            </w:tcBorders>
          </w:tcPr>
          <w:p w14:paraId="08159792"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280</w:t>
            </w:r>
          </w:p>
        </w:tc>
        <w:tc>
          <w:tcPr>
            <w:tcW w:w="0" w:type="auto"/>
            <w:tcBorders>
              <w:top w:val="single" w:sz="4" w:space="0" w:color="auto"/>
              <w:left w:val="single" w:sz="4" w:space="0" w:color="auto"/>
              <w:bottom w:val="single" w:sz="4" w:space="0" w:color="auto"/>
              <w:right w:val="single" w:sz="4" w:space="0" w:color="auto"/>
            </w:tcBorders>
          </w:tcPr>
          <w:p w14:paraId="3F6477E8"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600</w:t>
            </w:r>
          </w:p>
        </w:tc>
        <w:tc>
          <w:tcPr>
            <w:tcW w:w="0" w:type="auto"/>
            <w:tcBorders>
              <w:top w:val="single" w:sz="4" w:space="0" w:color="auto"/>
              <w:left w:val="single" w:sz="4" w:space="0" w:color="auto"/>
              <w:bottom w:val="single" w:sz="4" w:space="0" w:color="auto"/>
              <w:right w:val="single" w:sz="4" w:space="0" w:color="auto"/>
            </w:tcBorders>
          </w:tcPr>
          <w:p w14:paraId="0C58DE25"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904</w:t>
            </w:r>
          </w:p>
        </w:tc>
        <w:tc>
          <w:tcPr>
            <w:tcW w:w="0" w:type="auto"/>
            <w:tcBorders>
              <w:top w:val="single" w:sz="4" w:space="0" w:color="auto"/>
              <w:left w:val="single" w:sz="4" w:space="0" w:color="auto"/>
              <w:bottom w:val="single" w:sz="4" w:space="0" w:color="auto"/>
              <w:right w:val="single" w:sz="4" w:space="0" w:color="auto"/>
            </w:tcBorders>
          </w:tcPr>
          <w:p w14:paraId="484EE345"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1224</w:t>
            </w:r>
          </w:p>
        </w:tc>
        <w:tc>
          <w:tcPr>
            <w:tcW w:w="0" w:type="auto"/>
            <w:tcBorders>
              <w:top w:val="single" w:sz="4" w:space="0" w:color="auto"/>
              <w:left w:val="single" w:sz="4" w:space="0" w:color="auto"/>
              <w:bottom w:val="single" w:sz="4" w:space="0" w:color="auto"/>
              <w:right w:val="single" w:sz="4" w:space="0" w:color="auto"/>
            </w:tcBorders>
          </w:tcPr>
          <w:p w14:paraId="15719FE4"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1544</w:t>
            </w:r>
          </w:p>
        </w:tc>
        <w:tc>
          <w:tcPr>
            <w:tcW w:w="0" w:type="auto"/>
            <w:tcBorders>
              <w:top w:val="single" w:sz="4" w:space="0" w:color="auto"/>
              <w:left w:val="single" w:sz="4" w:space="0" w:color="auto"/>
              <w:bottom w:val="single" w:sz="4" w:space="0" w:color="auto"/>
              <w:right w:val="single" w:sz="4" w:space="0" w:color="auto"/>
            </w:tcBorders>
          </w:tcPr>
          <w:p w14:paraId="430FAEC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1800</w:t>
            </w:r>
          </w:p>
        </w:tc>
        <w:tc>
          <w:tcPr>
            <w:tcW w:w="0" w:type="auto"/>
            <w:tcBorders>
              <w:top w:val="single" w:sz="4" w:space="0" w:color="auto"/>
              <w:left w:val="single" w:sz="4" w:space="0" w:color="auto"/>
              <w:bottom w:val="single" w:sz="4" w:space="0" w:color="auto"/>
              <w:right w:val="single" w:sz="4" w:space="0" w:color="auto"/>
            </w:tcBorders>
          </w:tcPr>
          <w:p w14:paraId="4BB167B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2472</w:t>
            </w:r>
          </w:p>
        </w:tc>
        <w:tc>
          <w:tcPr>
            <w:tcW w:w="0" w:type="auto"/>
            <w:tcBorders>
              <w:top w:val="single" w:sz="4" w:space="0" w:color="auto"/>
              <w:left w:val="single" w:sz="4" w:space="0" w:color="auto"/>
              <w:bottom w:val="single" w:sz="4" w:space="0" w:color="auto"/>
              <w:right w:val="single" w:sz="4" w:space="0" w:color="auto"/>
            </w:tcBorders>
          </w:tcPr>
          <w:p w14:paraId="6FE53D6F"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3112</w:t>
            </w:r>
          </w:p>
        </w:tc>
      </w:tr>
      <w:tr w:rsidR="009D4B19" w:rsidRPr="004F68B1" w14:paraId="5207C93A"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3D4CFCB"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16</w:t>
            </w:r>
          </w:p>
        </w:tc>
        <w:tc>
          <w:tcPr>
            <w:tcW w:w="0" w:type="auto"/>
            <w:tcBorders>
              <w:top w:val="single" w:sz="4" w:space="0" w:color="auto"/>
              <w:left w:val="double" w:sz="4" w:space="0" w:color="auto"/>
              <w:bottom w:val="single" w:sz="4" w:space="0" w:color="auto"/>
              <w:right w:val="single" w:sz="4" w:space="0" w:color="auto"/>
            </w:tcBorders>
          </w:tcPr>
          <w:p w14:paraId="46349D60" w14:textId="77777777" w:rsidR="009D4B19" w:rsidRPr="004F68B1" w:rsidRDefault="009D4B19" w:rsidP="004D2BF8">
            <w:pPr>
              <w:pStyle w:val="BodyText"/>
              <w:spacing w:after="0"/>
              <w:jc w:val="center"/>
              <w:rPr>
                <w:rFonts w:ascii="Arial" w:hAnsi="Arial" w:cs="Arial"/>
                <w:bCs/>
                <w:color w:val="FF0000"/>
                <w:sz w:val="16"/>
                <w:szCs w:val="16"/>
                <w:highlight w:val="green"/>
                <w:lang w:val="en-US"/>
              </w:rPr>
            </w:pPr>
            <w:r w:rsidRPr="004F68B1">
              <w:rPr>
                <w:rFonts w:eastAsia="Malgun Gothic"/>
                <w:bCs/>
                <w:strike/>
                <w:color w:val="FF0000"/>
                <w:sz w:val="16"/>
                <w:szCs w:val="16"/>
                <w:highlight w:val="green"/>
                <w:lang w:val="en-US" w:eastAsia="zh-CN"/>
              </w:rPr>
              <w:t>328</w:t>
            </w:r>
            <w:r w:rsidRPr="004F68B1">
              <w:rPr>
                <w:rFonts w:eastAsia="Malgun Gothic"/>
                <w:bCs/>
                <w:color w:val="FF0000"/>
                <w:sz w:val="16"/>
                <w:szCs w:val="16"/>
                <w:highlight w:val="green"/>
                <w:lang w:val="en-US" w:eastAsia="zh-CN"/>
              </w:rPr>
              <w:t>296</w:t>
            </w:r>
          </w:p>
        </w:tc>
        <w:tc>
          <w:tcPr>
            <w:tcW w:w="0" w:type="auto"/>
            <w:tcBorders>
              <w:top w:val="single" w:sz="4" w:space="0" w:color="auto"/>
              <w:left w:val="single" w:sz="4" w:space="0" w:color="auto"/>
              <w:bottom w:val="single" w:sz="4" w:space="0" w:color="auto"/>
              <w:right w:val="single" w:sz="4" w:space="0" w:color="auto"/>
            </w:tcBorders>
          </w:tcPr>
          <w:p w14:paraId="6B8644D0"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632</w:t>
            </w:r>
          </w:p>
        </w:tc>
        <w:tc>
          <w:tcPr>
            <w:tcW w:w="0" w:type="auto"/>
            <w:tcBorders>
              <w:top w:val="single" w:sz="4" w:space="0" w:color="auto"/>
              <w:left w:val="single" w:sz="4" w:space="0" w:color="auto"/>
              <w:bottom w:val="single" w:sz="4" w:space="0" w:color="auto"/>
              <w:right w:val="single" w:sz="4" w:space="0" w:color="auto"/>
            </w:tcBorders>
          </w:tcPr>
          <w:p w14:paraId="190AD0B5"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968</w:t>
            </w:r>
          </w:p>
        </w:tc>
        <w:tc>
          <w:tcPr>
            <w:tcW w:w="0" w:type="auto"/>
            <w:tcBorders>
              <w:top w:val="single" w:sz="4" w:space="0" w:color="auto"/>
              <w:left w:val="single" w:sz="4" w:space="0" w:color="auto"/>
              <w:bottom w:val="single" w:sz="4" w:space="0" w:color="auto"/>
              <w:right w:val="single" w:sz="4" w:space="0" w:color="auto"/>
            </w:tcBorders>
          </w:tcPr>
          <w:p w14:paraId="4EF56E05"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1288</w:t>
            </w:r>
          </w:p>
        </w:tc>
        <w:tc>
          <w:tcPr>
            <w:tcW w:w="0" w:type="auto"/>
            <w:tcBorders>
              <w:top w:val="single" w:sz="4" w:space="0" w:color="auto"/>
              <w:left w:val="single" w:sz="4" w:space="0" w:color="auto"/>
              <w:bottom w:val="single" w:sz="4" w:space="0" w:color="auto"/>
              <w:right w:val="single" w:sz="4" w:space="0" w:color="auto"/>
            </w:tcBorders>
          </w:tcPr>
          <w:p w14:paraId="388A8D7C"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1608</w:t>
            </w:r>
          </w:p>
        </w:tc>
        <w:tc>
          <w:tcPr>
            <w:tcW w:w="0" w:type="auto"/>
            <w:tcBorders>
              <w:top w:val="single" w:sz="4" w:space="0" w:color="auto"/>
              <w:left w:val="single" w:sz="4" w:space="0" w:color="auto"/>
              <w:bottom w:val="single" w:sz="4" w:space="0" w:color="auto"/>
              <w:right w:val="single" w:sz="4" w:space="0" w:color="auto"/>
            </w:tcBorders>
          </w:tcPr>
          <w:p w14:paraId="36629574"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1928</w:t>
            </w:r>
          </w:p>
        </w:tc>
        <w:tc>
          <w:tcPr>
            <w:tcW w:w="0" w:type="auto"/>
            <w:tcBorders>
              <w:top w:val="single" w:sz="4" w:space="0" w:color="auto"/>
              <w:left w:val="single" w:sz="4" w:space="0" w:color="auto"/>
              <w:bottom w:val="single" w:sz="4" w:space="0" w:color="auto"/>
              <w:right w:val="single" w:sz="4" w:space="0" w:color="auto"/>
            </w:tcBorders>
          </w:tcPr>
          <w:p w14:paraId="7F0C60F3"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2600</w:t>
            </w:r>
          </w:p>
        </w:tc>
        <w:tc>
          <w:tcPr>
            <w:tcW w:w="0" w:type="auto"/>
            <w:tcBorders>
              <w:top w:val="single" w:sz="4" w:space="0" w:color="auto"/>
              <w:left w:val="single" w:sz="4" w:space="0" w:color="auto"/>
              <w:bottom w:val="single" w:sz="4" w:space="0" w:color="auto"/>
              <w:right w:val="single" w:sz="4" w:space="0" w:color="auto"/>
            </w:tcBorders>
          </w:tcPr>
          <w:p w14:paraId="18F03401"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3240</w:t>
            </w:r>
          </w:p>
        </w:tc>
      </w:tr>
      <w:tr w:rsidR="009D4B19" w:rsidRPr="004F68B1" w14:paraId="5CA1A899"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FBF9F20"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17</w:t>
            </w:r>
          </w:p>
        </w:tc>
        <w:tc>
          <w:tcPr>
            <w:tcW w:w="0" w:type="auto"/>
            <w:tcBorders>
              <w:top w:val="single" w:sz="4" w:space="0" w:color="auto"/>
              <w:left w:val="double" w:sz="4" w:space="0" w:color="auto"/>
              <w:bottom w:val="single" w:sz="4" w:space="0" w:color="auto"/>
              <w:right w:val="single" w:sz="4" w:space="0" w:color="auto"/>
            </w:tcBorders>
          </w:tcPr>
          <w:p w14:paraId="45483510"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336</w:t>
            </w:r>
          </w:p>
        </w:tc>
        <w:tc>
          <w:tcPr>
            <w:tcW w:w="0" w:type="auto"/>
            <w:tcBorders>
              <w:top w:val="single" w:sz="4" w:space="0" w:color="auto"/>
              <w:left w:val="single" w:sz="4" w:space="0" w:color="auto"/>
              <w:bottom w:val="single" w:sz="4" w:space="0" w:color="auto"/>
              <w:right w:val="single" w:sz="4" w:space="0" w:color="auto"/>
            </w:tcBorders>
          </w:tcPr>
          <w:p w14:paraId="7E28879E"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696</w:t>
            </w:r>
          </w:p>
        </w:tc>
        <w:tc>
          <w:tcPr>
            <w:tcW w:w="0" w:type="auto"/>
            <w:tcBorders>
              <w:top w:val="single" w:sz="4" w:space="0" w:color="auto"/>
              <w:left w:val="single" w:sz="4" w:space="0" w:color="auto"/>
              <w:bottom w:val="single" w:sz="4" w:space="0" w:color="auto"/>
              <w:right w:val="single" w:sz="4" w:space="0" w:color="auto"/>
            </w:tcBorders>
          </w:tcPr>
          <w:p w14:paraId="73E7AC4F"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1064</w:t>
            </w:r>
          </w:p>
        </w:tc>
        <w:tc>
          <w:tcPr>
            <w:tcW w:w="0" w:type="auto"/>
            <w:tcBorders>
              <w:top w:val="single" w:sz="4" w:space="0" w:color="auto"/>
              <w:left w:val="single" w:sz="4" w:space="0" w:color="auto"/>
              <w:bottom w:val="single" w:sz="4" w:space="0" w:color="auto"/>
              <w:right w:val="single" w:sz="4" w:space="0" w:color="auto"/>
            </w:tcBorders>
          </w:tcPr>
          <w:p w14:paraId="19CA52E7"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1416</w:t>
            </w:r>
          </w:p>
        </w:tc>
        <w:tc>
          <w:tcPr>
            <w:tcW w:w="0" w:type="auto"/>
            <w:tcBorders>
              <w:top w:val="single" w:sz="4" w:space="0" w:color="auto"/>
              <w:left w:val="single" w:sz="4" w:space="0" w:color="auto"/>
              <w:bottom w:val="single" w:sz="4" w:space="0" w:color="auto"/>
              <w:right w:val="single" w:sz="4" w:space="0" w:color="auto"/>
            </w:tcBorders>
          </w:tcPr>
          <w:p w14:paraId="01DB39A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1800</w:t>
            </w:r>
          </w:p>
        </w:tc>
        <w:tc>
          <w:tcPr>
            <w:tcW w:w="0" w:type="auto"/>
            <w:tcBorders>
              <w:top w:val="single" w:sz="4" w:space="0" w:color="auto"/>
              <w:left w:val="single" w:sz="4" w:space="0" w:color="auto"/>
              <w:bottom w:val="single" w:sz="4" w:space="0" w:color="auto"/>
              <w:right w:val="single" w:sz="4" w:space="0" w:color="auto"/>
            </w:tcBorders>
          </w:tcPr>
          <w:p w14:paraId="52400F1D"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2152</w:t>
            </w:r>
          </w:p>
        </w:tc>
        <w:tc>
          <w:tcPr>
            <w:tcW w:w="0" w:type="auto"/>
            <w:tcBorders>
              <w:top w:val="single" w:sz="4" w:space="0" w:color="auto"/>
              <w:left w:val="single" w:sz="4" w:space="0" w:color="auto"/>
              <w:bottom w:val="single" w:sz="4" w:space="0" w:color="auto"/>
              <w:right w:val="single" w:sz="4" w:space="0" w:color="auto"/>
            </w:tcBorders>
          </w:tcPr>
          <w:p w14:paraId="7E90BC00"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2856</w:t>
            </w:r>
          </w:p>
        </w:tc>
        <w:tc>
          <w:tcPr>
            <w:tcW w:w="0" w:type="auto"/>
            <w:tcBorders>
              <w:top w:val="single" w:sz="4" w:space="0" w:color="auto"/>
              <w:left w:val="single" w:sz="4" w:space="0" w:color="auto"/>
              <w:bottom w:val="single" w:sz="4" w:space="0" w:color="auto"/>
              <w:right w:val="single" w:sz="4" w:space="0" w:color="auto"/>
            </w:tcBorders>
          </w:tcPr>
          <w:p w14:paraId="1189557F"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3624</w:t>
            </w:r>
          </w:p>
        </w:tc>
      </w:tr>
      <w:tr w:rsidR="009D4B19" w:rsidRPr="004F68B1" w14:paraId="7AE52F36"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0CDF004"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18</w:t>
            </w:r>
          </w:p>
        </w:tc>
        <w:tc>
          <w:tcPr>
            <w:tcW w:w="0" w:type="auto"/>
            <w:tcBorders>
              <w:top w:val="single" w:sz="4" w:space="0" w:color="auto"/>
              <w:left w:val="double" w:sz="4" w:space="0" w:color="auto"/>
              <w:bottom w:val="single" w:sz="4" w:space="0" w:color="auto"/>
              <w:right w:val="single" w:sz="4" w:space="0" w:color="auto"/>
            </w:tcBorders>
          </w:tcPr>
          <w:p w14:paraId="377D9BA6"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376</w:t>
            </w:r>
          </w:p>
        </w:tc>
        <w:tc>
          <w:tcPr>
            <w:tcW w:w="0" w:type="auto"/>
            <w:tcBorders>
              <w:top w:val="single" w:sz="4" w:space="0" w:color="auto"/>
              <w:left w:val="single" w:sz="4" w:space="0" w:color="auto"/>
              <w:bottom w:val="single" w:sz="4" w:space="0" w:color="auto"/>
              <w:right w:val="single" w:sz="4" w:space="0" w:color="auto"/>
            </w:tcBorders>
          </w:tcPr>
          <w:p w14:paraId="68C9131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776</w:t>
            </w:r>
          </w:p>
        </w:tc>
        <w:tc>
          <w:tcPr>
            <w:tcW w:w="0" w:type="auto"/>
            <w:tcBorders>
              <w:top w:val="single" w:sz="4" w:space="0" w:color="auto"/>
              <w:left w:val="single" w:sz="4" w:space="0" w:color="auto"/>
              <w:bottom w:val="single" w:sz="4" w:space="0" w:color="auto"/>
              <w:right w:val="single" w:sz="4" w:space="0" w:color="auto"/>
            </w:tcBorders>
          </w:tcPr>
          <w:p w14:paraId="04EEF0E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1160</w:t>
            </w:r>
          </w:p>
        </w:tc>
        <w:tc>
          <w:tcPr>
            <w:tcW w:w="0" w:type="auto"/>
            <w:tcBorders>
              <w:top w:val="single" w:sz="4" w:space="0" w:color="auto"/>
              <w:left w:val="single" w:sz="4" w:space="0" w:color="auto"/>
              <w:bottom w:val="single" w:sz="4" w:space="0" w:color="auto"/>
              <w:right w:val="single" w:sz="4" w:space="0" w:color="auto"/>
            </w:tcBorders>
          </w:tcPr>
          <w:p w14:paraId="5D9D0F62"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1544</w:t>
            </w:r>
          </w:p>
        </w:tc>
        <w:tc>
          <w:tcPr>
            <w:tcW w:w="0" w:type="auto"/>
            <w:tcBorders>
              <w:top w:val="single" w:sz="4" w:space="0" w:color="auto"/>
              <w:left w:val="single" w:sz="4" w:space="0" w:color="auto"/>
              <w:bottom w:val="single" w:sz="4" w:space="0" w:color="auto"/>
              <w:right w:val="single" w:sz="4" w:space="0" w:color="auto"/>
            </w:tcBorders>
          </w:tcPr>
          <w:p w14:paraId="6D63FC4A"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1992</w:t>
            </w:r>
          </w:p>
        </w:tc>
        <w:tc>
          <w:tcPr>
            <w:tcW w:w="0" w:type="auto"/>
            <w:tcBorders>
              <w:top w:val="single" w:sz="4" w:space="0" w:color="auto"/>
              <w:left w:val="single" w:sz="4" w:space="0" w:color="auto"/>
              <w:bottom w:val="single" w:sz="4" w:space="0" w:color="auto"/>
              <w:right w:val="single" w:sz="4" w:space="0" w:color="auto"/>
            </w:tcBorders>
          </w:tcPr>
          <w:p w14:paraId="2FD28CFC"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2344</w:t>
            </w:r>
          </w:p>
        </w:tc>
        <w:tc>
          <w:tcPr>
            <w:tcW w:w="0" w:type="auto"/>
            <w:tcBorders>
              <w:top w:val="single" w:sz="4" w:space="0" w:color="auto"/>
              <w:left w:val="single" w:sz="4" w:space="0" w:color="auto"/>
              <w:bottom w:val="single" w:sz="4" w:space="0" w:color="auto"/>
              <w:right w:val="single" w:sz="4" w:space="0" w:color="auto"/>
            </w:tcBorders>
          </w:tcPr>
          <w:p w14:paraId="3B775AD1"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3112</w:t>
            </w:r>
          </w:p>
        </w:tc>
        <w:tc>
          <w:tcPr>
            <w:tcW w:w="0" w:type="auto"/>
            <w:tcBorders>
              <w:top w:val="single" w:sz="4" w:space="0" w:color="auto"/>
              <w:left w:val="single" w:sz="4" w:space="0" w:color="auto"/>
              <w:bottom w:val="single" w:sz="4" w:space="0" w:color="auto"/>
              <w:right w:val="single" w:sz="4" w:space="0" w:color="auto"/>
            </w:tcBorders>
          </w:tcPr>
          <w:p w14:paraId="6CE3D166"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4008</w:t>
            </w:r>
          </w:p>
        </w:tc>
      </w:tr>
      <w:tr w:rsidR="009D4B19" w:rsidRPr="004F68B1" w14:paraId="13B5359B"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5511FE1"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19</w:t>
            </w:r>
          </w:p>
        </w:tc>
        <w:tc>
          <w:tcPr>
            <w:tcW w:w="0" w:type="auto"/>
            <w:tcBorders>
              <w:top w:val="single" w:sz="4" w:space="0" w:color="auto"/>
              <w:left w:val="double" w:sz="4" w:space="0" w:color="auto"/>
              <w:bottom w:val="single" w:sz="4" w:space="0" w:color="auto"/>
              <w:right w:val="single" w:sz="4" w:space="0" w:color="auto"/>
            </w:tcBorders>
          </w:tcPr>
          <w:p w14:paraId="5440DEE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408</w:t>
            </w:r>
          </w:p>
        </w:tc>
        <w:tc>
          <w:tcPr>
            <w:tcW w:w="0" w:type="auto"/>
            <w:tcBorders>
              <w:top w:val="single" w:sz="4" w:space="0" w:color="auto"/>
              <w:left w:val="single" w:sz="4" w:space="0" w:color="auto"/>
              <w:bottom w:val="single" w:sz="4" w:space="0" w:color="auto"/>
              <w:right w:val="single" w:sz="4" w:space="0" w:color="auto"/>
            </w:tcBorders>
          </w:tcPr>
          <w:p w14:paraId="57B4B197"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840</w:t>
            </w:r>
          </w:p>
        </w:tc>
        <w:tc>
          <w:tcPr>
            <w:tcW w:w="0" w:type="auto"/>
            <w:tcBorders>
              <w:top w:val="single" w:sz="4" w:space="0" w:color="auto"/>
              <w:left w:val="single" w:sz="4" w:space="0" w:color="auto"/>
              <w:bottom w:val="single" w:sz="4" w:space="0" w:color="auto"/>
              <w:right w:val="single" w:sz="4" w:space="0" w:color="auto"/>
            </w:tcBorders>
          </w:tcPr>
          <w:p w14:paraId="4A0DCDFD"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1288</w:t>
            </w:r>
          </w:p>
        </w:tc>
        <w:tc>
          <w:tcPr>
            <w:tcW w:w="0" w:type="auto"/>
            <w:tcBorders>
              <w:top w:val="single" w:sz="4" w:space="0" w:color="auto"/>
              <w:left w:val="single" w:sz="4" w:space="0" w:color="auto"/>
              <w:bottom w:val="single" w:sz="4" w:space="0" w:color="auto"/>
              <w:right w:val="single" w:sz="4" w:space="0" w:color="auto"/>
            </w:tcBorders>
          </w:tcPr>
          <w:p w14:paraId="0EA43E7A"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1736</w:t>
            </w:r>
          </w:p>
        </w:tc>
        <w:tc>
          <w:tcPr>
            <w:tcW w:w="0" w:type="auto"/>
            <w:tcBorders>
              <w:top w:val="single" w:sz="4" w:space="0" w:color="auto"/>
              <w:left w:val="single" w:sz="4" w:space="0" w:color="auto"/>
              <w:bottom w:val="single" w:sz="4" w:space="0" w:color="auto"/>
              <w:right w:val="single" w:sz="4" w:space="0" w:color="auto"/>
            </w:tcBorders>
          </w:tcPr>
          <w:p w14:paraId="4DFD8072"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2152</w:t>
            </w:r>
          </w:p>
        </w:tc>
        <w:tc>
          <w:tcPr>
            <w:tcW w:w="0" w:type="auto"/>
            <w:tcBorders>
              <w:top w:val="single" w:sz="4" w:space="0" w:color="auto"/>
              <w:left w:val="single" w:sz="4" w:space="0" w:color="auto"/>
              <w:bottom w:val="single" w:sz="4" w:space="0" w:color="auto"/>
              <w:right w:val="single" w:sz="4" w:space="0" w:color="auto"/>
            </w:tcBorders>
          </w:tcPr>
          <w:p w14:paraId="1135831D"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2600</w:t>
            </w:r>
          </w:p>
        </w:tc>
        <w:tc>
          <w:tcPr>
            <w:tcW w:w="0" w:type="auto"/>
            <w:tcBorders>
              <w:top w:val="single" w:sz="4" w:space="0" w:color="auto"/>
              <w:left w:val="single" w:sz="4" w:space="0" w:color="auto"/>
              <w:bottom w:val="single" w:sz="4" w:space="0" w:color="auto"/>
              <w:right w:val="single" w:sz="4" w:space="0" w:color="auto"/>
            </w:tcBorders>
          </w:tcPr>
          <w:p w14:paraId="4CF3A003"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3496</w:t>
            </w:r>
          </w:p>
        </w:tc>
        <w:tc>
          <w:tcPr>
            <w:tcW w:w="0" w:type="auto"/>
            <w:tcBorders>
              <w:top w:val="single" w:sz="4" w:space="0" w:color="auto"/>
              <w:left w:val="single" w:sz="4" w:space="0" w:color="auto"/>
              <w:bottom w:val="single" w:sz="4" w:space="0" w:color="auto"/>
              <w:right w:val="single" w:sz="4" w:space="0" w:color="auto"/>
            </w:tcBorders>
          </w:tcPr>
          <w:p w14:paraId="394E80EF"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4264</w:t>
            </w:r>
          </w:p>
        </w:tc>
      </w:tr>
      <w:tr w:rsidR="009D4B19" w:rsidRPr="004F68B1" w14:paraId="1FA9EB76"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9D63A8D"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20</w:t>
            </w:r>
          </w:p>
        </w:tc>
        <w:tc>
          <w:tcPr>
            <w:tcW w:w="0" w:type="auto"/>
            <w:tcBorders>
              <w:top w:val="single" w:sz="4" w:space="0" w:color="auto"/>
              <w:left w:val="double" w:sz="4" w:space="0" w:color="auto"/>
              <w:bottom w:val="single" w:sz="4" w:space="0" w:color="auto"/>
              <w:right w:val="single" w:sz="4" w:space="0" w:color="auto"/>
            </w:tcBorders>
          </w:tcPr>
          <w:p w14:paraId="1A90F264"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440</w:t>
            </w:r>
          </w:p>
        </w:tc>
        <w:tc>
          <w:tcPr>
            <w:tcW w:w="0" w:type="auto"/>
            <w:tcBorders>
              <w:top w:val="single" w:sz="4" w:space="0" w:color="auto"/>
              <w:left w:val="single" w:sz="4" w:space="0" w:color="auto"/>
              <w:bottom w:val="single" w:sz="4" w:space="0" w:color="auto"/>
              <w:right w:val="single" w:sz="4" w:space="0" w:color="auto"/>
            </w:tcBorders>
          </w:tcPr>
          <w:p w14:paraId="45AF9E86"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904</w:t>
            </w:r>
          </w:p>
        </w:tc>
        <w:tc>
          <w:tcPr>
            <w:tcW w:w="0" w:type="auto"/>
            <w:tcBorders>
              <w:top w:val="single" w:sz="4" w:space="0" w:color="auto"/>
              <w:left w:val="single" w:sz="4" w:space="0" w:color="auto"/>
              <w:bottom w:val="single" w:sz="4" w:space="0" w:color="auto"/>
              <w:right w:val="single" w:sz="4" w:space="0" w:color="auto"/>
            </w:tcBorders>
          </w:tcPr>
          <w:p w14:paraId="7D615D5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1384</w:t>
            </w:r>
          </w:p>
        </w:tc>
        <w:tc>
          <w:tcPr>
            <w:tcW w:w="0" w:type="auto"/>
            <w:tcBorders>
              <w:top w:val="single" w:sz="4" w:space="0" w:color="auto"/>
              <w:left w:val="single" w:sz="4" w:space="0" w:color="auto"/>
              <w:bottom w:val="single" w:sz="4" w:space="0" w:color="auto"/>
              <w:right w:val="single" w:sz="4" w:space="0" w:color="auto"/>
            </w:tcBorders>
          </w:tcPr>
          <w:p w14:paraId="1B4774BB"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1864</w:t>
            </w:r>
          </w:p>
        </w:tc>
        <w:tc>
          <w:tcPr>
            <w:tcW w:w="0" w:type="auto"/>
            <w:tcBorders>
              <w:top w:val="single" w:sz="4" w:space="0" w:color="auto"/>
              <w:left w:val="single" w:sz="4" w:space="0" w:color="auto"/>
              <w:bottom w:val="single" w:sz="4" w:space="0" w:color="auto"/>
              <w:right w:val="single" w:sz="4" w:space="0" w:color="auto"/>
            </w:tcBorders>
          </w:tcPr>
          <w:p w14:paraId="1F55E966"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2344</w:t>
            </w:r>
          </w:p>
        </w:tc>
        <w:tc>
          <w:tcPr>
            <w:tcW w:w="0" w:type="auto"/>
            <w:tcBorders>
              <w:top w:val="single" w:sz="4" w:space="0" w:color="auto"/>
              <w:left w:val="single" w:sz="4" w:space="0" w:color="auto"/>
              <w:bottom w:val="single" w:sz="4" w:space="0" w:color="auto"/>
              <w:right w:val="single" w:sz="4" w:space="0" w:color="auto"/>
            </w:tcBorders>
          </w:tcPr>
          <w:p w14:paraId="3DE7C220"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2792</w:t>
            </w:r>
          </w:p>
        </w:tc>
        <w:tc>
          <w:tcPr>
            <w:tcW w:w="0" w:type="auto"/>
            <w:tcBorders>
              <w:top w:val="single" w:sz="4" w:space="0" w:color="auto"/>
              <w:left w:val="single" w:sz="4" w:space="0" w:color="auto"/>
              <w:bottom w:val="single" w:sz="4" w:space="0" w:color="auto"/>
              <w:right w:val="single" w:sz="4" w:space="0" w:color="auto"/>
            </w:tcBorders>
          </w:tcPr>
          <w:p w14:paraId="7F0F17D1"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3752</w:t>
            </w:r>
          </w:p>
        </w:tc>
        <w:tc>
          <w:tcPr>
            <w:tcW w:w="0" w:type="auto"/>
            <w:tcBorders>
              <w:top w:val="single" w:sz="4" w:space="0" w:color="auto"/>
              <w:left w:val="single" w:sz="4" w:space="0" w:color="auto"/>
              <w:bottom w:val="single" w:sz="4" w:space="0" w:color="auto"/>
              <w:right w:val="single" w:sz="4" w:space="0" w:color="auto"/>
            </w:tcBorders>
          </w:tcPr>
          <w:p w14:paraId="0111B719"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4584</w:t>
            </w:r>
          </w:p>
        </w:tc>
      </w:tr>
      <w:tr w:rsidR="009D4B19" w:rsidRPr="004F68B1" w14:paraId="235A5BBF" w14:textId="77777777" w:rsidTr="004D2BF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4BADC3E" w14:textId="77777777" w:rsidR="009D4B19" w:rsidRPr="004F68B1" w:rsidRDefault="009D4B19" w:rsidP="004D2BF8">
            <w:pPr>
              <w:pStyle w:val="BodyText"/>
              <w:spacing w:after="0"/>
              <w:jc w:val="center"/>
              <w:rPr>
                <w:rFonts w:ascii="Arial" w:eastAsia="Malgun Gothic" w:hAnsi="Arial" w:cs="Arial"/>
                <w:bCs/>
                <w:sz w:val="16"/>
                <w:szCs w:val="16"/>
                <w:lang w:val="en-US" w:eastAsia="zh-CN"/>
              </w:rPr>
            </w:pPr>
            <w:r w:rsidRPr="004F68B1">
              <w:rPr>
                <w:rFonts w:ascii="Arial" w:eastAsia="Malgun Gothic" w:hAnsi="Arial" w:cs="Arial"/>
                <w:bCs/>
                <w:sz w:val="16"/>
                <w:szCs w:val="16"/>
                <w:lang w:val="en-US" w:eastAsia="zh-CN"/>
              </w:rPr>
              <w:t>21</w:t>
            </w:r>
          </w:p>
        </w:tc>
        <w:tc>
          <w:tcPr>
            <w:tcW w:w="0" w:type="auto"/>
            <w:tcBorders>
              <w:top w:val="single" w:sz="4" w:space="0" w:color="auto"/>
              <w:left w:val="double" w:sz="4" w:space="0" w:color="auto"/>
              <w:bottom w:val="single" w:sz="4" w:space="0" w:color="auto"/>
              <w:right w:val="single" w:sz="4" w:space="0" w:color="auto"/>
            </w:tcBorders>
          </w:tcPr>
          <w:p w14:paraId="1FA01BB7"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488</w:t>
            </w:r>
          </w:p>
        </w:tc>
        <w:tc>
          <w:tcPr>
            <w:tcW w:w="0" w:type="auto"/>
            <w:tcBorders>
              <w:top w:val="single" w:sz="4" w:space="0" w:color="auto"/>
              <w:left w:val="single" w:sz="4" w:space="0" w:color="auto"/>
              <w:bottom w:val="single" w:sz="4" w:space="0" w:color="auto"/>
              <w:right w:val="single" w:sz="4" w:space="0" w:color="auto"/>
            </w:tcBorders>
          </w:tcPr>
          <w:p w14:paraId="5C540DE6"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1000</w:t>
            </w:r>
          </w:p>
        </w:tc>
        <w:tc>
          <w:tcPr>
            <w:tcW w:w="0" w:type="auto"/>
            <w:tcBorders>
              <w:top w:val="single" w:sz="4" w:space="0" w:color="auto"/>
              <w:left w:val="single" w:sz="4" w:space="0" w:color="auto"/>
              <w:bottom w:val="single" w:sz="4" w:space="0" w:color="auto"/>
              <w:right w:val="single" w:sz="4" w:space="0" w:color="auto"/>
            </w:tcBorders>
          </w:tcPr>
          <w:p w14:paraId="1FA62944"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1480</w:t>
            </w:r>
          </w:p>
        </w:tc>
        <w:tc>
          <w:tcPr>
            <w:tcW w:w="0" w:type="auto"/>
            <w:tcBorders>
              <w:top w:val="single" w:sz="4" w:space="0" w:color="auto"/>
              <w:left w:val="single" w:sz="4" w:space="0" w:color="auto"/>
              <w:bottom w:val="single" w:sz="4" w:space="0" w:color="auto"/>
              <w:right w:val="single" w:sz="4" w:space="0" w:color="auto"/>
            </w:tcBorders>
          </w:tcPr>
          <w:p w14:paraId="4489E115"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1992</w:t>
            </w:r>
          </w:p>
        </w:tc>
        <w:tc>
          <w:tcPr>
            <w:tcW w:w="0" w:type="auto"/>
            <w:tcBorders>
              <w:top w:val="single" w:sz="4" w:space="0" w:color="auto"/>
              <w:left w:val="single" w:sz="4" w:space="0" w:color="auto"/>
              <w:bottom w:val="single" w:sz="4" w:space="0" w:color="auto"/>
              <w:right w:val="single" w:sz="4" w:space="0" w:color="auto"/>
            </w:tcBorders>
          </w:tcPr>
          <w:p w14:paraId="788CB220" w14:textId="77777777" w:rsidR="009D4B19" w:rsidRPr="004F68B1" w:rsidRDefault="009D4B19" w:rsidP="004D2BF8">
            <w:pPr>
              <w:pStyle w:val="BodyText"/>
              <w:spacing w:after="0"/>
              <w:jc w:val="center"/>
              <w:rPr>
                <w:rFonts w:ascii="Arial" w:hAnsi="Arial" w:cs="Arial"/>
                <w:bCs/>
                <w:sz w:val="16"/>
                <w:szCs w:val="16"/>
                <w:highlight w:val="yellow"/>
                <w:lang w:val="en-US"/>
              </w:rPr>
            </w:pPr>
            <w:r w:rsidRPr="004F68B1">
              <w:rPr>
                <w:rFonts w:eastAsia="Malgun Gothic"/>
                <w:bCs/>
                <w:sz w:val="16"/>
                <w:szCs w:val="16"/>
                <w:highlight w:val="green"/>
                <w:lang w:val="en-US" w:eastAsia="zh-CN"/>
              </w:rPr>
              <w:t>2472</w:t>
            </w:r>
          </w:p>
        </w:tc>
        <w:tc>
          <w:tcPr>
            <w:tcW w:w="0" w:type="auto"/>
            <w:tcBorders>
              <w:top w:val="single" w:sz="4" w:space="0" w:color="auto"/>
              <w:left w:val="single" w:sz="4" w:space="0" w:color="auto"/>
              <w:bottom w:val="single" w:sz="4" w:space="0" w:color="auto"/>
              <w:right w:val="single" w:sz="4" w:space="0" w:color="auto"/>
            </w:tcBorders>
          </w:tcPr>
          <w:p w14:paraId="489A6B1D"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2984</w:t>
            </w:r>
          </w:p>
        </w:tc>
        <w:tc>
          <w:tcPr>
            <w:tcW w:w="0" w:type="auto"/>
            <w:tcBorders>
              <w:top w:val="single" w:sz="4" w:space="0" w:color="auto"/>
              <w:left w:val="single" w:sz="4" w:space="0" w:color="auto"/>
              <w:bottom w:val="single" w:sz="4" w:space="0" w:color="auto"/>
              <w:right w:val="single" w:sz="4" w:space="0" w:color="auto"/>
            </w:tcBorders>
          </w:tcPr>
          <w:p w14:paraId="670C0A2E"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4008</w:t>
            </w:r>
          </w:p>
        </w:tc>
        <w:tc>
          <w:tcPr>
            <w:tcW w:w="0" w:type="auto"/>
            <w:tcBorders>
              <w:top w:val="single" w:sz="4" w:space="0" w:color="auto"/>
              <w:left w:val="single" w:sz="4" w:space="0" w:color="auto"/>
              <w:bottom w:val="single" w:sz="4" w:space="0" w:color="auto"/>
              <w:right w:val="single" w:sz="4" w:space="0" w:color="auto"/>
            </w:tcBorders>
          </w:tcPr>
          <w:p w14:paraId="53EF6DF6" w14:textId="77777777" w:rsidR="009D4B19" w:rsidRPr="004F68B1" w:rsidRDefault="009D4B19" w:rsidP="004D2BF8">
            <w:pPr>
              <w:pStyle w:val="BodyText"/>
              <w:spacing w:after="0"/>
              <w:jc w:val="center"/>
              <w:rPr>
                <w:rFonts w:ascii="Arial" w:hAnsi="Arial" w:cs="Arial"/>
                <w:bCs/>
                <w:sz w:val="16"/>
                <w:szCs w:val="16"/>
                <w:lang w:val="en-US"/>
              </w:rPr>
            </w:pPr>
            <w:r w:rsidRPr="004F68B1">
              <w:rPr>
                <w:rFonts w:ascii="Arial" w:hAnsi="Arial" w:cs="Arial"/>
                <w:bCs/>
                <w:sz w:val="16"/>
                <w:szCs w:val="16"/>
                <w:lang w:val="en-US"/>
              </w:rPr>
              <w:t>4968</w:t>
            </w:r>
          </w:p>
        </w:tc>
      </w:tr>
    </w:tbl>
    <w:p w14:paraId="5C7E7F02" w14:textId="77777777" w:rsidR="009D4B19" w:rsidRPr="004F68B1" w:rsidRDefault="009D4B19" w:rsidP="009D4B19">
      <w:pPr>
        <w:rPr>
          <w:rFonts w:cs="Times"/>
          <w:bCs/>
          <w:lang w:val="en-US" w:eastAsia="x-none"/>
        </w:rPr>
      </w:pPr>
    </w:p>
    <w:p w14:paraId="7BDB5AA5" w14:textId="77777777" w:rsidR="009D4B19" w:rsidRPr="004F68B1" w:rsidRDefault="009D4B19" w:rsidP="009D4B19">
      <w:pPr>
        <w:rPr>
          <w:rFonts w:cs="Times"/>
          <w:bCs/>
          <w:highlight w:val="green"/>
          <w:lang w:val="en-US" w:eastAsia="x-none"/>
        </w:rPr>
      </w:pPr>
      <w:r w:rsidRPr="004F68B1">
        <w:rPr>
          <w:rFonts w:cs="Times"/>
          <w:bCs/>
          <w:highlight w:val="green"/>
          <w:lang w:val="en-US" w:eastAsia="x-none"/>
        </w:rPr>
        <w:t>Agreement</w:t>
      </w:r>
    </w:p>
    <w:p w14:paraId="293173DD" w14:textId="77777777" w:rsidR="009D4B19" w:rsidRPr="004F68B1" w:rsidRDefault="009D4B19" w:rsidP="009D4B19">
      <w:pPr>
        <w:pStyle w:val="Caption"/>
        <w:spacing w:before="0" w:after="0"/>
        <w:jc w:val="both"/>
        <w:rPr>
          <w:rFonts w:ascii="Times" w:hAnsi="Times" w:cs="Times"/>
          <w:b w:val="0"/>
          <w:bCs w:val="0"/>
        </w:rPr>
      </w:pPr>
      <w:r w:rsidRPr="004F68B1">
        <w:rPr>
          <w:rFonts w:ascii="Times" w:hAnsi="Times" w:cs="Times"/>
          <w:b w:val="0"/>
        </w:rPr>
        <w:t>Confirm the working assumption:</w:t>
      </w:r>
    </w:p>
    <w:p w14:paraId="6936ABF1" w14:textId="77777777" w:rsidR="009D4B19" w:rsidRPr="004F68B1" w:rsidRDefault="009D4B19" w:rsidP="00F93256">
      <w:pPr>
        <w:pStyle w:val="ListParagraph"/>
        <w:numPr>
          <w:ilvl w:val="0"/>
          <w:numId w:val="5"/>
        </w:numPr>
        <w:spacing w:after="0"/>
        <w:rPr>
          <w:rFonts w:cs="Times"/>
          <w:bCs/>
          <w:lang w:val="en-US"/>
        </w:rPr>
      </w:pPr>
      <w:r w:rsidRPr="004F68B1">
        <w:rPr>
          <w:rFonts w:cs="Times"/>
          <w:bCs/>
          <w:lang w:val="en-US"/>
        </w:rPr>
        <w:t>For standalone and guardband deployments, the downlink TBS entries between 14 (TBS of 2856 for I_SF=7) and 21 are used for 16QAM.</w:t>
      </w:r>
    </w:p>
    <w:p w14:paraId="716F2167" w14:textId="77777777" w:rsidR="009D4B19" w:rsidRPr="004F68B1" w:rsidRDefault="009D4B19" w:rsidP="009D4B19">
      <w:pPr>
        <w:rPr>
          <w:rFonts w:cs="Times"/>
          <w:bCs/>
          <w:lang w:val="en-US" w:eastAsia="x-none"/>
        </w:rPr>
      </w:pPr>
    </w:p>
    <w:p w14:paraId="4F6158FD" w14:textId="77777777" w:rsidR="009D4B19" w:rsidRPr="004F68B1" w:rsidRDefault="009D4B19" w:rsidP="009D4B19">
      <w:pPr>
        <w:rPr>
          <w:bCs/>
          <w:highlight w:val="green"/>
          <w:lang w:val="en-US" w:eastAsia="x-none"/>
        </w:rPr>
      </w:pPr>
      <w:r w:rsidRPr="004F68B1">
        <w:rPr>
          <w:bCs/>
          <w:highlight w:val="green"/>
          <w:lang w:val="en-US" w:eastAsia="x-none"/>
        </w:rPr>
        <w:t>Agreement</w:t>
      </w:r>
    </w:p>
    <w:p w14:paraId="649FC364" w14:textId="77777777" w:rsidR="009D4B19" w:rsidRPr="004F68B1" w:rsidRDefault="009D4B19" w:rsidP="009D4B19">
      <w:pPr>
        <w:rPr>
          <w:bCs/>
          <w:lang w:val="en-US" w:eastAsia="x-none"/>
        </w:rPr>
      </w:pPr>
      <w:r w:rsidRPr="004F68B1">
        <w:rPr>
          <w:bCs/>
          <w:lang w:val="en-US" w:eastAsia="x-none"/>
        </w:rPr>
        <w:t>For both uplink and downlink</w:t>
      </w:r>
    </w:p>
    <w:p w14:paraId="6017B93B" w14:textId="77777777" w:rsidR="009D4B19" w:rsidRPr="004F68B1" w:rsidRDefault="009D4B19" w:rsidP="00F93256">
      <w:pPr>
        <w:numPr>
          <w:ilvl w:val="0"/>
          <w:numId w:val="7"/>
        </w:numPr>
        <w:spacing w:after="0"/>
        <w:rPr>
          <w:bCs/>
          <w:lang w:val="en-US"/>
        </w:rPr>
      </w:pPr>
      <w:r w:rsidRPr="004F68B1">
        <w:rPr>
          <w:bCs/>
          <w:lang w:val="en-US"/>
        </w:rPr>
        <w:t>16-QAM is not applied to C-RNTI from CSS.</w:t>
      </w:r>
    </w:p>
    <w:p w14:paraId="0929E77A" w14:textId="77777777" w:rsidR="009D4B19" w:rsidRPr="004F68B1" w:rsidRDefault="009D4B19" w:rsidP="00F93256">
      <w:pPr>
        <w:numPr>
          <w:ilvl w:val="0"/>
          <w:numId w:val="7"/>
        </w:numPr>
        <w:spacing w:after="0"/>
        <w:rPr>
          <w:bCs/>
          <w:lang w:val="en-US"/>
        </w:rPr>
      </w:pPr>
      <w:r w:rsidRPr="004F68B1">
        <w:rPr>
          <w:bCs/>
          <w:lang w:val="en-US"/>
        </w:rPr>
        <w:t>16-QAM is not applied to EDT.</w:t>
      </w:r>
    </w:p>
    <w:p w14:paraId="27A1DB09" w14:textId="77777777" w:rsidR="009D4B19" w:rsidRPr="004F68B1" w:rsidRDefault="009D4B19" w:rsidP="009D4B19">
      <w:pPr>
        <w:rPr>
          <w:bCs/>
          <w:lang w:val="en-US" w:eastAsia="x-none"/>
        </w:rPr>
      </w:pPr>
    </w:p>
    <w:p w14:paraId="075CA617" w14:textId="77777777" w:rsidR="009D4B19" w:rsidRPr="004F68B1" w:rsidRDefault="009D4B19" w:rsidP="009D4B19">
      <w:pPr>
        <w:rPr>
          <w:bCs/>
          <w:highlight w:val="darkYellow"/>
          <w:lang w:val="en-US" w:eastAsia="x-none"/>
        </w:rPr>
      </w:pPr>
      <w:r w:rsidRPr="004F68B1">
        <w:rPr>
          <w:bCs/>
          <w:highlight w:val="darkYellow"/>
          <w:lang w:val="en-US" w:eastAsia="x-none"/>
        </w:rPr>
        <w:lastRenderedPageBreak/>
        <w:t>Working Assumption</w:t>
      </w:r>
    </w:p>
    <w:p w14:paraId="085C6E37" w14:textId="77777777" w:rsidR="009D4B19" w:rsidRPr="004F68B1" w:rsidRDefault="009D4B19" w:rsidP="009D4B19">
      <w:pPr>
        <w:rPr>
          <w:bCs/>
          <w:lang w:val="en-US" w:eastAsia="x-none"/>
        </w:rPr>
      </w:pPr>
      <w:bookmarkStart w:id="2" w:name="_Hlk71636963"/>
      <w:r w:rsidRPr="004F68B1">
        <w:rPr>
          <w:bCs/>
          <w:lang w:val="en-US"/>
        </w:rPr>
        <w:t>The DCI size is not increased to support 16-QAM in uplink and downlink.</w:t>
      </w:r>
    </w:p>
    <w:bookmarkEnd w:id="2"/>
    <w:p w14:paraId="5CFCEDC0" w14:textId="77777777" w:rsidR="009D4B19" w:rsidRPr="004F68B1" w:rsidRDefault="009D4B19" w:rsidP="009D4B19">
      <w:pPr>
        <w:rPr>
          <w:bCs/>
          <w:lang w:val="en-US" w:eastAsia="x-none"/>
        </w:rPr>
      </w:pPr>
    </w:p>
    <w:p w14:paraId="126A79FF" w14:textId="77777777" w:rsidR="009D4B19" w:rsidRPr="004F68B1" w:rsidRDefault="009D4B19" w:rsidP="009D4B19">
      <w:pPr>
        <w:pStyle w:val="Caption"/>
        <w:spacing w:before="0" w:after="0"/>
        <w:rPr>
          <w:b w:val="0"/>
          <w:bCs w:val="0"/>
          <w:szCs w:val="18"/>
          <w:highlight w:val="green"/>
        </w:rPr>
      </w:pPr>
      <w:r w:rsidRPr="004F68B1">
        <w:rPr>
          <w:b w:val="0"/>
          <w:szCs w:val="18"/>
          <w:highlight w:val="green"/>
        </w:rPr>
        <w:t>Agreement</w:t>
      </w:r>
    </w:p>
    <w:p w14:paraId="19D6E316" w14:textId="77777777" w:rsidR="009D4B19" w:rsidRPr="004F68B1" w:rsidRDefault="009D4B19" w:rsidP="009D4B19">
      <w:pPr>
        <w:pStyle w:val="Caption"/>
        <w:spacing w:before="0" w:after="0"/>
        <w:rPr>
          <w:b w:val="0"/>
          <w:szCs w:val="18"/>
        </w:rPr>
      </w:pPr>
      <w:r w:rsidRPr="004F68B1">
        <w:rPr>
          <w:b w:val="0"/>
          <w:szCs w:val="18"/>
        </w:rPr>
        <w:t>The following options on the indication of downlink 16-QAM can be considered:</w:t>
      </w:r>
    </w:p>
    <w:p w14:paraId="63D2865A" w14:textId="77777777" w:rsidR="009D4B19" w:rsidRPr="004F68B1" w:rsidRDefault="009D4B19" w:rsidP="00F93256">
      <w:pPr>
        <w:numPr>
          <w:ilvl w:val="0"/>
          <w:numId w:val="10"/>
        </w:numPr>
        <w:spacing w:after="0"/>
        <w:rPr>
          <w:lang w:val="en-US" w:eastAsia="x-none"/>
        </w:rPr>
      </w:pPr>
      <w:r w:rsidRPr="004F68B1">
        <w:rPr>
          <w:lang w:val="en-US" w:eastAsia="x-none"/>
        </w:rPr>
        <w:t>Option 1: MCS field is increased to 5 bits to indicate modulation and TBS, and repetition field is reduced to 3 bits to indicate the repetition number;</w:t>
      </w:r>
    </w:p>
    <w:p w14:paraId="1E790FDA" w14:textId="77777777" w:rsidR="009D4B19" w:rsidRPr="004F68B1" w:rsidRDefault="009D4B19" w:rsidP="00F93256">
      <w:pPr>
        <w:numPr>
          <w:ilvl w:val="0"/>
          <w:numId w:val="10"/>
        </w:numPr>
        <w:spacing w:after="0"/>
        <w:rPr>
          <w:lang w:val="en-US" w:eastAsia="x-none"/>
        </w:rPr>
      </w:pPr>
      <w:r w:rsidRPr="004F68B1">
        <w:rPr>
          <w:lang w:val="en-US" w:eastAsia="x-none"/>
        </w:rPr>
        <w:t>Option 2: MCS field is 4 bits to indicate TBS, and repetition field is reduced to 3 bits to indicate the repetition number;</w:t>
      </w:r>
    </w:p>
    <w:p w14:paraId="2561D9EA" w14:textId="77777777" w:rsidR="009D4B19" w:rsidRPr="004F68B1" w:rsidRDefault="009D4B19" w:rsidP="00F93256">
      <w:pPr>
        <w:numPr>
          <w:ilvl w:val="1"/>
          <w:numId w:val="10"/>
        </w:numPr>
        <w:spacing w:after="0"/>
        <w:rPr>
          <w:lang w:val="en-US" w:eastAsia="x-none"/>
        </w:rPr>
      </w:pPr>
      <w:r w:rsidRPr="004F68B1">
        <w:rPr>
          <w:lang w:val="en-US" w:eastAsia="x-none"/>
        </w:rPr>
        <w:t>1 bit is used to indicate legacy QPSK or 16QAM</w:t>
      </w:r>
    </w:p>
    <w:p w14:paraId="35F1B6EE" w14:textId="77777777" w:rsidR="009D4B19" w:rsidRPr="004F68B1" w:rsidRDefault="009D4B19" w:rsidP="00F93256">
      <w:pPr>
        <w:numPr>
          <w:ilvl w:val="0"/>
          <w:numId w:val="10"/>
        </w:numPr>
        <w:spacing w:after="0"/>
        <w:rPr>
          <w:lang w:val="en-US" w:eastAsia="x-none"/>
        </w:rPr>
      </w:pPr>
      <w:r w:rsidRPr="004F68B1">
        <w:rPr>
          <w:lang w:val="en-US" w:eastAsia="x-none"/>
        </w:rPr>
        <w:t>Option 3: MCS field is 4 bits to indicate modulation and TBS</w:t>
      </w:r>
    </w:p>
    <w:p w14:paraId="1503A8E6" w14:textId="77777777" w:rsidR="009D4B19" w:rsidRPr="004F68B1" w:rsidRDefault="009D4B19" w:rsidP="00F93256">
      <w:pPr>
        <w:numPr>
          <w:ilvl w:val="1"/>
          <w:numId w:val="10"/>
        </w:numPr>
        <w:spacing w:after="0"/>
        <w:rPr>
          <w:lang w:val="en-US" w:eastAsia="x-none"/>
        </w:rPr>
      </w:pPr>
      <w:r w:rsidRPr="004F68B1">
        <w:rPr>
          <w:lang w:val="en-US" w:eastAsia="x-none"/>
        </w:rPr>
        <w:t xml:space="preserve">A reserved state of MCS field indicates use of 16QAM, </w:t>
      </w:r>
    </w:p>
    <w:p w14:paraId="48732A43" w14:textId="77777777" w:rsidR="009D4B19" w:rsidRPr="004F68B1" w:rsidRDefault="009D4B19" w:rsidP="00F93256">
      <w:pPr>
        <w:numPr>
          <w:ilvl w:val="1"/>
          <w:numId w:val="10"/>
        </w:numPr>
        <w:spacing w:after="0"/>
        <w:rPr>
          <w:lang w:val="en-US" w:eastAsia="x-none"/>
        </w:rPr>
      </w:pPr>
      <w:r w:rsidRPr="004F68B1">
        <w:rPr>
          <w:lang w:val="en-US" w:eastAsia="x-none"/>
        </w:rPr>
        <w:t>Repetition field indicates 16QAM MCS if 16QAM is indicated to be used.</w:t>
      </w:r>
    </w:p>
    <w:p w14:paraId="05293AB7" w14:textId="77777777" w:rsidR="009D4B19" w:rsidRPr="004F68B1" w:rsidRDefault="009D4B19" w:rsidP="00F93256">
      <w:pPr>
        <w:numPr>
          <w:ilvl w:val="0"/>
          <w:numId w:val="10"/>
        </w:numPr>
        <w:spacing w:after="0"/>
        <w:rPr>
          <w:lang w:val="en-US" w:eastAsia="x-none"/>
        </w:rPr>
      </w:pPr>
      <w:r w:rsidRPr="004F68B1">
        <w:rPr>
          <w:lang w:val="en-US" w:eastAsia="x-none"/>
        </w:rPr>
        <w:t xml:space="preserve">Option 4: MCS is 4 bits, </w:t>
      </w:r>
    </w:p>
    <w:p w14:paraId="19BE20F3" w14:textId="77777777" w:rsidR="009D4B19" w:rsidRPr="004F68B1" w:rsidRDefault="009D4B19" w:rsidP="00F93256">
      <w:pPr>
        <w:numPr>
          <w:ilvl w:val="1"/>
          <w:numId w:val="10"/>
        </w:numPr>
        <w:spacing w:after="0"/>
        <w:rPr>
          <w:lang w:val="en-US" w:eastAsia="x-none"/>
        </w:rPr>
      </w:pPr>
      <w:r w:rsidRPr="004F68B1">
        <w:rPr>
          <w:lang w:val="en-US" w:eastAsia="x-none"/>
        </w:rPr>
        <w:t>If repetition is indicated as one, 16QAM and QPSK can be indicated by MCS field;</w:t>
      </w:r>
    </w:p>
    <w:p w14:paraId="2E02D309" w14:textId="77777777" w:rsidR="009D4B19" w:rsidRPr="004F68B1" w:rsidRDefault="009D4B19" w:rsidP="00F93256">
      <w:pPr>
        <w:numPr>
          <w:ilvl w:val="1"/>
          <w:numId w:val="10"/>
        </w:numPr>
        <w:spacing w:after="0"/>
        <w:rPr>
          <w:lang w:val="en-US" w:eastAsia="x-none"/>
        </w:rPr>
      </w:pPr>
      <w:r w:rsidRPr="004F68B1">
        <w:rPr>
          <w:lang w:val="en-US" w:eastAsia="x-none"/>
        </w:rPr>
        <w:t>If repetition is indicated larger than one, the legacy QPSK MCS can be indicated by MCS field.</w:t>
      </w:r>
    </w:p>
    <w:p w14:paraId="3D66C20F" w14:textId="77777777" w:rsidR="009D4B19" w:rsidRPr="004F68B1" w:rsidRDefault="009D4B19" w:rsidP="00F93256">
      <w:pPr>
        <w:numPr>
          <w:ilvl w:val="0"/>
          <w:numId w:val="10"/>
        </w:numPr>
        <w:spacing w:after="0"/>
        <w:rPr>
          <w:lang w:val="en-US" w:eastAsia="x-none"/>
        </w:rPr>
      </w:pPr>
      <w:r w:rsidRPr="004F68B1">
        <w:rPr>
          <w:lang w:val="en-US" w:eastAsia="x-none"/>
        </w:rPr>
        <w:t>Option 5: {repetition, MCS} are indicated by 8 bits (a combination of the MCS field and repetition field)</w:t>
      </w:r>
    </w:p>
    <w:p w14:paraId="2A2F7F5C" w14:textId="77777777" w:rsidR="009D4B19" w:rsidRPr="004F68B1" w:rsidRDefault="009D4B19" w:rsidP="00F93256">
      <w:pPr>
        <w:numPr>
          <w:ilvl w:val="0"/>
          <w:numId w:val="10"/>
        </w:numPr>
        <w:spacing w:after="0"/>
        <w:rPr>
          <w:lang w:val="en-US" w:eastAsia="x-none"/>
        </w:rPr>
      </w:pPr>
      <w:r w:rsidRPr="004F68B1">
        <w:rPr>
          <w:lang w:val="en-US" w:eastAsia="x-none"/>
        </w:rPr>
        <w:t>Note: other options are not precluded.</w:t>
      </w:r>
    </w:p>
    <w:p w14:paraId="7B35B1F4" w14:textId="77777777" w:rsidR="009D4B19" w:rsidRPr="004F68B1" w:rsidRDefault="009D4B19" w:rsidP="009D4B19">
      <w:pPr>
        <w:rPr>
          <w:bCs/>
          <w:lang w:val="en-US" w:eastAsia="x-none"/>
        </w:rPr>
      </w:pPr>
    </w:p>
    <w:p w14:paraId="55F8CD0F" w14:textId="77777777" w:rsidR="009D4B19" w:rsidRPr="004F68B1" w:rsidRDefault="009D4B19" w:rsidP="009D4B19">
      <w:pPr>
        <w:pStyle w:val="Caption"/>
        <w:spacing w:before="0" w:after="0"/>
        <w:rPr>
          <w:b w:val="0"/>
          <w:bCs w:val="0"/>
          <w:highlight w:val="green"/>
        </w:rPr>
      </w:pPr>
      <w:r w:rsidRPr="004F68B1">
        <w:rPr>
          <w:b w:val="0"/>
          <w:highlight w:val="green"/>
        </w:rPr>
        <w:t>Agreement</w:t>
      </w:r>
    </w:p>
    <w:p w14:paraId="44DF962F" w14:textId="77777777" w:rsidR="009D4B19" w:rsidRPr="004F68B1" w:rsidRDefault="009D4B19" w:rsidP="009D4B19">
      <w:pPr>
        <w:pStyle w:val="Caption"/>
        <w:spacing w:before="0" w:after="0"/>
        <w:rPr>
          <w:b w:val="0"/>
          <w:bCs w:val="0"/>
        </w:rPr>
      </w:pPr>
      <w:r w:rsidRPr="004F68B1">
        <w:rPr>
          <w:b w:val="0"/>
        </w:rPr>
        <w:t>For downlink power allocation to support 16QAM:</w:t>
      </w:r>
    </w:p>
    <w:p w14:paraId="50916BD4" w14:textId="77777777" w:rsidR="009D4B19" w:rsidRPr="004F68B1" w:rsidRDefault="009D4B19" w:rsidP="00F93256">
      <w:pPr>
        <w:numPr>
          <w:ilvl w:val="0"/>
          <w:numId w:val="10"/>
        </w:numPr>
        <w:spacing w:after="0"/>
        <w:rPr>
          <w:lang w:val="en-US" w:eastAsia="x-none"/>
        </w:rPr>
      </w:pPr>
      <w:r w:rsidRPr="004F68B1">
        <w:rPr>
          <w:lang w:val="en-US" w:eastAsia="x-none"/>
        </w:rPr>
        <w:t>For standalone and guard-band deployments:</w:t>
      </w:r>
    </w:p>
    <w:p w14:paraId="75E28D49" w14:textId="77777777" w:rsidR="009D4B19" w:rsidRPr="004F68B1" w:rsidRDefault="009D4B19" w:rsidP="00F93256">
      <w:pPr>
        <w:pStyle w:val="ListParagraph"/>
        <w:numPr>
          <w:ilvl w:val="1"/>
          <w:numId w:val="8"/>
        </w:numPr>
        <w:overflowPunct/>
        <w:autoSpaceDE/>
        <w:autoSpaceDN/>
        <w:adjustRightInd/>
        <w:spacing w:after="0"/>
        <w:contextualSpacing w:val="0"/>
        <w:jc w:val="both"/>
        <w:textAlignment w:val="auto"/>
        <w:rPr>
          <w:bCs/>
          <w:lang w:val="en-US"/>
        </w:rPr>
      </w:pPr>
      <w:r w:rsidRPr="004F68B1">
        <w:rPr>
          <w:bCs/>
          <w:lang w:val="en-US"/>
        </w:rPr>
        <w:t>Option 1: Two power ratios are signaled</w:t>
      </w:r>
    </w:p>
    <w:p w14:paraId="0F533198" w14:textId="77777777" w:rsidR="009D4B19" w:rsidRPr="004F68B1" w:rsidRDefault="009D4B19" w:rsidP="00F93256">
      <w:pPr>
        <w:pStyle w:val="ListParagraph"/>
        <w:numPr>
          <w:ilvl w:val="2"/>
          <w:numId w:val="8"/>
        </w:numPr>
        <w:overflowPunct/>
        <w:autoSpaceDE/>
        <w:autoSpaceDN/>
        <w:adjustRightInd/>
        <w:spacing w:after="0"/>
        <w:contextualSpacing w:val="0"/>
        <w:jc w:val="both"/>
        <w:textAlignment w:val="auto"/>
        <w:rPr>
          <w:bCs/>
          <w:lang w:val="en-US"/>
        </w:rPr>
      </w:pPr>
      <w:r w:rsidRPr="004F68B1">
        <w:rPr>
          <w:bCs/>
          <w:lang w:val="en-US"/>
        </w:rPr>
        <w:t>NPDSCH EPRE to NRS EPRE in symbols with NRS</w:t>
      </w:r>
    </w:p>
    <w:p w14:paraId="05A2424E" w14:textId="77777777" w:rsidR="009D4B19" w:rsidRPr="004F68B1" w:rsidRDefault="009D4B19" w:rsidP="00F93256">
      <w:pPr>
        <w:pStyle w:val="ListParagraph"/>
        <w:numPr>
          <w:ilvl w:val="2"/>
          <w:numId w:val="8"/>
        </w:numPr>
        <w:overflowPunct/>
        <w:autoSpaceDE/>
        <w:autoSpaceDN/>
        <w:adjustRightInd/>
        <w:spacing w:after="0"/>
        <w:contextualSpacing w:val="0"/>
        <w:jc w:val="both"/>
        <w:textAlignment w:val="auto"/>
        <w:rPr>
          <w:bCs/>
          <w:lang w:val="en-US"/>
        </w:rPr>
      </w:pPr>
      <w:r w:rsidRPr="004F68B1">
        <w:rPr>
          <w:bCs/>
          <w:lang w:val="en-US"/>
        </w:rPr>
        <w:t>NPDSCH EPRE to NRS EPRE in symbols without NRS</w:t>
      </w:r>
    </w:p>
    <w:p w14:paraId="3CD652A6" w14:textId="77777777" w:rsidR="009D4B19" w:rsidRPr="004F68B1" w:rsidRDefault="009D4B19" w:rsidP="00F93256">
      <w:pPr>
        <w:pStyle w:val="ListParagraph"/>
        <w:numPr>
          <w:ilvl w:val="1"/>
          <w:numId w:val="8"/>
        </w:numPr>
        <w:overflowPunct/>
        <w:autoSpaceDE/>
        <w:autoSpaceDN/>
        <w:adjustRightInd/>
        <w:spacing w:after="0"/>
        <w:contextualSpacing w:val="0"/>
        <w:jc w:val="both"/>
        <w:textAlignment w:val="auto"/>
        <w:rPr>
          <w:bCs/>
          <w:lang w:val="en-US"/>
        </w:rPr>
      </w:pPr>
      <w:r w:rsidRPr="004F68B1">
        <w:rPr>
          <w:bCs/>
          <w:lang w:val="en-US"/>
        </w:rPr>
        <w:t>Option 2: the power ratio of NPDSCH EPRE to NRS EPRE in symbols with NRS is signaled, assuming the same transmit power of different symbols.</w:t>
      </w:r>
    </w:p>
    <w:p w14:paraId="052D7982" w14:textId="77777777" w:rsidR="009D4B19" w:rsidRPr="004F68B1" w:rsidRDefault="009D4B19" w:rsidP="00F93256">
      <w:pPr>
        <w:pStyle w:val="ListParagraph"/>
        <w:numPr>
          <w:ilvl w:val="1"/>
          <w:numId w:val="8"/>
        </w:numPr>
        <w:overflowPunct/>
        <w:autoSpaceDE/>
        <w:autoSpaceDN/>
        <w:adjustRightInd/>
        <w:spacing w:after="0"/>
        <w:contextualSpacing w:val="0"/>
        <w:jc w:val="both"/>
        <w:textAlignment w:val="auto"/>
        <w:rPr>
          <w:bCs/>
          <w:lang w:val="en-US"/>
        </w:rPr>
      </w:pPr>
      <w:r w:rsidRPr="004F68B1">
        <w:rPr>
          <w:bCs/>
          <w:lang w:val="en-US"/>
        </w:rPr>
        <w:t>Option 3: the power ratio of NPDSCH EPRE to NRS EPRE in symbols without NRS is signaled, assuming the same transmit power of different symbols.</w:t>
      </w:r>
    </w:p>
    <w:p w14:paraId="3C9B237A" w14:textId="77777777" w:rsidR="009D4B19" w:rsidRPr="004F68B1" w:rsidRDefault="009D4B19" w:rsidP="00F93256">
      <w:pPr>
        <w:pStyle w:val="ListParagraph"/>
        <w:numPr>
          <w:ilvl w:val="1"/>
          <w:numId w:val="8"/>
        </w:numPr>
        <w:overflowPunct/>
        <w:autoSpaceDE/>
        <w:autoSpaceDN/>
        <w:adjustRightInd/>
        <w:spacing w:after="0"/>
        <w:contextualSpacing w:val="0"/>
        <w:jc w:val="both"/>
        <w:textAlignment w:val="auto"/>
        <w:rPr>
          <w:bCs/>
          <w:lang w:val="en-US"/>
        </w:rPr>
      </w:pPr>
      <w:r w:rsidRPr="004F68B1">
        <w:rPr>
          <w:bCs/>
          <w:lang w:val="en-US"/>
        </w:rPr>
        <w:t>If the signaling(s) is(are) not indicated, the legacy power allocation is used.</w:t>
      </w:r>
    </w:p>
    <w:p w14:paraId="26ACE274" w14:textId="77777777" w:rsidR="009D4B19" w:rsidRPr="004F68B1" w:rsidRDefault="009D4B19" w:rsidP="00F93256">
      <w:pPr>
        <w:pStyle w:val="ListParagraph"/>
        <w:numPr>
          <w:ilvl w:val="2"/>
          <w:numId w:val="8"/>
        </w:numPr>
        <w:overflowPunct/>
        <w:autoSpaceDE/>
        <w:autoSpaceDN/>
        <w:adjustRightInd/>
        <w:spacing w:after="0"/>
        <w:contextualSpacing w:val="0"/>
        <w:jc w:val="both"/>
        <w:textAlignment w:val="auto"/>
        <w:rPr>
          <w:bCs/>
          <w:lang w:val="en-US"/>
        </w:rPr>
      </w:pPr>
      <w:r w:rsidRPr="004F68B1">
        <w:rPr>
          <w:bCs/>
          <w:lang w:val="en-US"/>
        </w:rPr>
        <w:t>i.e., the ratio of NPDSCH EPRE to NRS EPRE is 0dB for one NRS antenna port, and -3dB for two NRS antenna ports</w:t>
      </w:r>
    </w:p>
    <w:p w14:paraId="51783B87" w14:textId="77777777" w:rsidR="009D4B19" w:rsidRPr="004F68B1" w:rsidRDefault="009D4B19" w:rsidP="00F93256">
      <w:pPr>
        <w:numPr>
          <w:ilvl w:val="0"/>
          <w:numId w:val="10"/>
        </w:numPr>
        <w:spacing w:after="0"/>
        <w:rPr>
          <w:lang w:val="en-US" w:eastAsia="x-none"/>
        </w:rPr>
      </w:pPr>
      <w:r w:rsidRPr="004F68B1">
        <w:rPr>
          <w:lang w:val="en-US" w:eastAsia="x-none"/>
        </w:rPr>
        <w:t>For inband deployments, the power ratio of NRS EPRE to CRS EPRE is signaled in addition to the signaling for standalone and guard-band deployments.</w:t>
      </w:r>
    </w:p>
    <w:p w14:paraId="0C909D83" w14:textId="77777777" w:rsidR="009D4B19" w:rsidRPr="004F68B1" w:rsidRDefault="009D4B19" w:rsidP="00F93256">
      <w:pPr>
        <w:pStyle w:val="ListParagraph"/>
        <w:numPr>
          <w:ilvl w:val="1"/>
          <w:numId w:val="8"/>
        </w:numPr>
        <w:overflowPunct/>
        <w:autoSpaceDE/>
        <w:autoSpaceDN/>
        <w:adjustRightInd/>
        <w:spacing w:after="0"/>
        <w:contextualSpacing w:val="0"/>
        <w:jc w:val="both"/>
        <w:textAlignment w:val="auto"/>
        <w:rPr>
          <w:bCs/>
          <w:lang w:val="en-US"/>
        </w:rPr>
      </w:pPr>
      <w:r w:rsidRPr="004F68B1">
        <w:rPr>
          <w:bCs/>
          <w:lang w:val="en-US"/>
        </w:rPr>
        <w:t>FFS to reuse the existing parameter nrs-CRS-PowerOffset.</w:t>
      </w:r>
    </w:p>
    <w:p w14:paraId="22F75A8C" w14:textId="77777777" w:rsidR="009D4B19" w:rsidRPr="004F68B1" w:rsidRDefault="009D4B19" w:rsidP="00F93256">
      <w:pPr>
        <w:numPr>
          <w:ilvl w:val="0"/>
          <w:numId w:val="9"/>
        </w:numPr>
        <w:spacing w:after="0"/>
        <w:rPr>
          <w:bCs/>
          <w:lang w:val="en-US"/>
        </w:rPr>
      </w:pPr>
      <w:r w:rsidRPr="004F68B1">
        <w:rPr>
          <w:bCs/>
          <w:lang w:val="en-US"/>
        </w:rPr>
        <w:t>FFS: Whether UE specific or cell-specific or carrier-specific signaling is used</w:t>
      </w:r>
    </w:p>
    <w:p w14:paraId="065969EE" w14:textId="77777777" w:rsidR="009D4B19" w:rsidRPr="004F68B1" w:rsidRDefault="009D4B19" w:rsidP="009D4B19">
      <w:pPr>
        <w:rPr>
          <w:lang w:val="en-US" w:eastAsia="x-none"/>
        </w:rPr>
      </w:pPr>
    </w:p>
    <w:p w14:paraId="2F41845D" w14:textId="77777777" w:rsidR="009D4B19" w:rsidRPr="004F68B1" w:rsidRDefault="009D4B19" w:rsidP="009D4B19">
      <w:pPr>
        <w:rPr>
          <w:highlight w:val="green"/>
          <w:lang w:val="en-US" w:eastAsia="x-none"/>
        </w:rPr>
      </w:pPr>
      <w:r w:rsidRPr="004F68B1">
        <w:rPr>
          <w:highlight w:val="green"/>
          <w:lang w:val="en-US" w:eastAsia="x-none"/>
        </w:rPr>
        <w:t>Agreement</w:t>
      </w:r>
    </w:p>
    <w:p w14:paraId="7F7FA066" w14:textId="77777777" w:rsidR="009D4B19" w:rsidRPr="004F68B1" w:rsidRDefault="009D4B19" w:rsidP="009D4B19">
      <w:pPr>
        <w:rPr>
          <w:lang w:val="en-US" w:eastAsia="x-none"/>
        </w:rPr>
      </w:pPr>
      <w:r w:rsidRPr="004F68B1">
        <w:rPr>
          <w:lang w:val="en-US" w:eastAsia="x-none"/>
        </w:rPr>
        <w:t>If 16-QAM is configured for NPDSCH, the channel quality report for 16-QAM is based on NPDSCH transport block that achieves an error probability not exceeding 10% BLER.</w:t>
      </w:r>
    </w:p>
    <w:p w14:paraId="5E39673B" w14:textId="77777777" w:rsidR="009D4B19" w:rsidRPr="004F68B1" w:rsidRDefault="009D4B19" w:rsidP="009D4B19">
      <w:pPr>
        <w:rPr>
          <w:lang w:val="en-US" w:eastAsia="x-none"/>
        </w:rPr>
      </w:pPr>
    </w:p>
    <w:p w14:paraId="5B3A3E24" w14:textId="77777777" w:rsidR="009D4B19" w:rsidRPr="004F68B1" w:rsidRDefault="009D4B19" w:rsidP="009D4B19">
      <w:pPr>
        <w:rPr>
          <w:b/>
          <w:bCs/>
          <w:lang w:val="en-US" w:eastAsia="x-none"/>
        </w:rPr>
      </w:pPr>
      <w:r w:rsidRPr="004F68B1">
        <w:rPr>
          <w:b/>
          <w:bCs/>
          <w:lang w:val="en-US" w:eastAsia="x-none"/>
        </w:rPr>
        <w:t>For future meeting:</w:t>
      </w:r>
    </w:p>
    <w:p w14:paraId="646EC0A5" w14:textId="77777777" w:rsidR="009D4B19" w:rsidRPr="004F68B1" w:rsidRDefault="009D4B19" w:rsidP="00F93256">
      <w:pPr>
        <w:numPr>
          <w:ilvl w:val="0"/>
          <w:numId w:val="9"/>
        </w:numPr>
        <w:spacing w:after="0"/>
        <w:rPr>
          <w:bCs/>
          <w:lang w:val="en-US" w:eastAsia="x-none"/>
        </w:rPr>
      </w:pPr>
      <w:r w:rsidRPr="004F68B1">
        <w:rPr>
          <w:bCs/>
          <w:lang w:val="en-US"/>
        </w:rPr>
        <w:t xml:space="preserve">Additional power control parameter for 16-QAM (e.g. similar to </w:t>
      </w:r>
      <w:r w:rsidRPr="004F68B1">
        <w:rPr>
          <w:rFonts w:cs="Times"/>
          <w:bCs/>
          <w:lang w:val="en-US"/>
        </w:rPr>
        <w:t>Δ</w:t>
      </w:r>
      <w:r w:rsidRPr="004F68B1">
        <w:rPr>
          <w:bCs/>
          <w:i/>
          <w:vertAlign w:val="subscript"/>
          <w:lang w:val="en-US"/>
        </w:rPr>
        <w:t>TF</w:t>
      </w:r>
      <w:r w:rsidRPr="004F68B1">
        <w:rPr>
          <w:bCs/>
          <w:lang w:val="en-US"/>
        </w:rPr>
        <w:t>)</w:t>
      </w:r>
    </w:p>
    <w:p w14:paraId="07E1646B" w14:textId="77777777" w:rsidR="009D4B19" w:rsidRPr="004F68B1" w:rsidRDefault="009D4B19" w:rsidP="00F93256">
      <w:pPr>
        <w:numPr>
          <w:ilvl w:val="0"/>
          <w:numId w:val="9"/>
        </w:numPr>
        <w:spacing w:after="0"/>
        <w:rPr>
          <w:lang w:val="en-US" w:eastAsia="x-none"/>
        </w:rPr>
      </w:pPr>
      <w:r w:rsidRPr="004F68B1">
        <w:rPr>
          <w:lang w:val="en-US" w:eastAsia="x-none"/>
        </w:rPr>
        <w:t>Applicability of 16QAM for PUR and multi-TB scheduling</w:t>
      </w:r>
    </w:p>
    <w:p w14:paraId="64AF9A4B" w14:textId="6D79893D" w:rsidR="00874392" w:rsidRPr="004F68B1" w:rsidRDefault="00874392" w:rsidP="006C1D96">
      <w:pPr>
        <w:rPr>
          <w:bCs/>
          <w:lang w:val="en-US"/>
        </w:rPr>
      </w:pPr>
    </w:p>
    <w:p w14:paraId="6A92D308" w14:textId="77777777" w:rsidR="00C44677" w:rsidRPr="004F68B1" w:rsidRDefault="00C44677" w:rsidP="006C1D96">
      <w:pPr>
        <w:rPr>
          <w:b/>
          <w:bCs/>
          <w:lang w:val="en-US"/>
        </w:rPr>
      </w:pPr>
    </w:p>
    <w:p w14:paraId="584AE4E6" w14:textId="1FBA8E7D"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lastRenderedPageBreak/>
        <w:t>Downlink aspects</w:t>
      </w:r>
    </w:p>
    <w:p w14:paraId="27BE1B25" w14:textId="5755BB69" w:rsidR="00874392" w:rsidRPr="004F68B1" w:rsidRDefault="00874392" w:rsidP="00874392">
      <w:pPr>
        <w:pStyle w:val="Style2"/>
        <w:numPr>
          <w:ilvl w:val="1"/>
          <w:numId w:val="1"/>
        </w:numPr>
        <w:rPr>
          <w:lang w:val="en-US"/>
        </w:rPr>
      </w:pPr>
      <w:r w:rsidRPr="004F68B1">
        <w:rPr>
          <w:lang w:val="en-US"/>
        </w:rPr>
        <w:t>Rules of applicability</w:t>
      </w:r>
    </w:p>
    <w:p w14:paraId="1B77E17E" w14:textId="77777777" w:rsidR="009D4B19" w:rsidRPr="004F68B1" w:rsidRDefault="00ED6A14" w:rsidP="00874392">
      <w:pPr>
        <w:rPr>
          <w:lang w:val="en-US"/>
        </w:rPr>
      </w:pPr>
      <w:r w:rsidRPr="004F68B1">
        <w:rPr>
          <w:lang w:val="en-US"/>
        </w:rPr>
        <w:br/>
      </w:r>
      <w:r w:rsidR="009D4B19" w:rsidRPr="004F68B1">
        <w:rPr>
          <w:lang w:val="en-US"/>
        </w:rPr>
        <w:t xml:space="preserve">One of the remaining issues from the last meeting was whether 16-QAM is supported for multi-TB scheduling and PUR. </w:t>
      </w:r>
    </w:p>
    <w:p w14:paraId="7580B4B2" w14:textId="311295B7" w:rsidR="00C93F67" w:rsidRPr="004F68B1" w:rsidRDefault="00C93F67" w:rsidP="00874392">
      <w:pPr>
        <w:rPr>
          <w:lang w:val="en-US"/>
        </w:rPr>
      </w:pPr>
      <w:r w:rsidRPr="004F68B1">
        <w:rPr>
          <w:lang w:val="en-US"/>
        </w:rPr>
        <w:t xml:space="preserve">For PUR, it is technically possible to support 16-QAM for DL (by including a corresponding flag in </w:t>
      </w:r>
      <w:r w:rsidRPr="004F68B1">
        <w:rPr>
          <w:i/>
          <w:iCs/>
          <w:lang w:val="en-US"/>
        </w:rPr>
        <w:t>PUR-Config</w:t>
      </w:r>
      <w:r w:rsidRPr="004F68B1">
        <w:rPr>
          <w:lang w:val="en-US"/>
        </w:rPr>
        <w:t>), but its usefulness is expected to be reduced. Thus, we propose to not support DL 16-QAM during PUR. Note that is similar to the decision in Rel-16 eMTC of not supporting DL 64-QAM</w:t>
      </w:r>
      <w:r w:rsidR="009D4B19" w:rsidRPr="004F68B1">
        <w:rPr>
          <w:lang w:val="en-US"/>
        </w:rPr>
        <w:t xml:space="preserve"> during PUR</w:t>
      </w:r>
      <w:r w:rsidRPr="004F68B1">
        <w:rPr>
          <w:lang w:val="en-US"/>
        </w:rPr>
        <w:t>.</w:t>
      </w:r>
    </w:p>
    <w:p w14:paraId="43A13D80" w14:textId="53D42884" w:rsidR="001D4791" w:rsidRPr="004F68B1" w:rsidRDefault="00C93F67" w:rsidP="00874392">
      <w:pPr>
        <w:rPr>
          <w:b/>
          <w:bCs/>
          <w:lang w:val="en-US"/>
        </w:rPr>
      </w:pPr>
      <w:r w:rsidRPr="004F68B1">
        <w:rPr>
          <w:b/>
          <w:bCs/>
          <w:u w:val="single"/>
          <w:lang w:val="en-US"/>
        </w:rPr>
        <w:t xml:space="preserve">Proposal </w:t>
      </w:r>
      <w:r w:rsidR="009D4B19" w:rsidRPr="004F68B1">
        <w:rPr>
          <w:b/>
          <w:bCs/>
          <w:u w:val="single"/>
          <w:lang w:val="en-US"/>
        </w:rPr>
        <w:t>1:</w:t>
      </w:r>
      <w:r w:rsidRPr="004F68B1">
        <w:rPr>
          <w:b/>
          <w:bCs/>
          <w:lang w:val="en-US"/>
        </w:rPr>
        <w:t xml:space="preserve"> Do not support DL 16-QAM during PUR procedure.</w:t>
      </w:r>
    </w:p>
    <w:p w14:paraId="0D2324C6" w14:textId="3F117A16" w:rsidR="009D4B19" w:rsidRPr="004F68B1" w:rsidRDefault="009D4B19" w:rsidP="00874392">
      <w:pPr>
        <w:rPr>
          <w:lang w:val="en-US"/>
        </w:rPr>
      </w:pPr>
      <w:r w:rsidRPr="004F68B1">
        <w:rPr>
          <w:lang w:val="en-US"/>
        </w:rPr>
        <w:t>For multi-TB scheduling, although the usefulness of the feature together with 16-QAM is expected to be limited, we do not see any specification impact to support these two features together. Therefore, we propose to support 16-QAM with multi-TB.</w:t>
      </w:r>
    </w:p>
    <w:p w14:paraId="47363958" w14:textId="1E1D652F" w:rsidR="009D4B19" w:rsidRPr="004F68B1" w:rsidRDefault="009D4B19" w:rsidP="009D4B19">
      <w:pPr>
        <w:rPr>
          <w:b/>
          <w:bCs/>
          <w:lang w:val="en-US"/>
        </w:rPr>
      </w:pPr>
      <w:r w:rsidRPr="004F68B1">
        <w:rPr>
          <w:b/>
          <w:bCs/>
          <w:u w:val="single"/>
          <w:lang w:val="en-US"/>
        </w:rPr>
        <w:t>Proposal 2:</w:t>
      </w:r>
      <w:r w:rsidRPr="004F68B1">
        <w:rPr>
          <w:b/>
          <w:bCs/>
          <w:lang w:val="en-US"/>
        </w:rPr>
        <w:t xml:space="preserve"> Support DL 16-QAM for multi-TB scheduling.</w:t>
      </w:r>
    </w:p>
    <w:p w14:paraId="04EB04A7" w14:textId="4AF2D9F1" w:rsidR="00972BE8" w:rsidRPr="004F68B1" w:rsidRDefault="00972BE8" w:rsidP="00874392">
      <w:pPr>
        <w:rPr>
          <w:lang w:val="en-US"/>
        </w:rPr>
      </w:pPr>
    </w:p>
    <w:p w14:paraId="0AEDA684" w14:textId="52B8DD44" w:rsidR="0076617C" w:rsidRPr="004F68B1" w:rsidRDefault="0076617C" w:rsidP="0076617C">
      <w:pPr>
        <w:pStyle w:val="Style2"/>
        <w:numPr>
          <w:ilvl w:val="1"/>
          <w:numId w:val="1"/>
        </w:numPr>
        <w:rPr>
          <w:lang w:val="en-US"/>
        </w:rPr>
      </w:pPr>
      <w:r w:rsidRPr="004F68B1">
        <w:rPr>
          <w:lang w:val="en-US"/>
        </w:rPr>
        <w:t>DCI design</w:t>
      </w:r>
    </w:p>
    <w:p w14:paraId="190D6082" w14:textId="4E530456" w:rsidR="000911B4" w:rsidRPr="004F68B1" w:rsidRDefault="000911B4" w:rsidP="000911B4">
      <w:pPr>
        <w:rPr>
          <w:lang w:val="en-US"/>
        </w:rPr>
      </w:pPr>
    </w:p>
    <w:p w14:paraId="61DA374C" w14:textId="1539CCB4" w:rsidR="000911B4" w:rsidRPr="004F68B1" w:rsidRDefault="000911B4" w:rsidP="000911B4">
      <w:pPr>
        <w:rPr>
          <w:lang w:val="en-US"/>
        </w:rPr>
      </w:pPr>
      <w:r w:rsidRPr="004F68B1">
        <w:rPr>
          <w:lang w:val="en-US"/>
        </w:rPr>
        <w:t>One remaining issue is how to indicate the new TBS entries. There are essentially two options:</w:t>
      </w:r>
    </w:p>
    <w:p w14:paraId="656EC03F" w14:textId="59E4DCE7" w:rsidR="000911B4" w:rsidRPr="004F68B1" w:rsidRDefault="000911B4" w:rsidP="00F93256">
      <w:pPr>
        <w:pStyle w:val="ListParagraph"/>
        <w:numPr>
          <w:ilvl w:val="0"/>
          <w:numId w:val="6"/>
        </w:numPr>
        <w:rPr>
          <w:lang w:val="en-US"/>
        </w:rPr>
      </w:pPr>
      <w:r w:rsidRPr="004F68B1">
        <w:rPr>
          <w:lang w:val="en-US"/>
        </w:rPr>
        <w:t>Increase the MCS field</w:t>
      </w:r>
      <w:r w:rsidR="002E3884" w:rsidRPr="004F68B1">
        <w:rPr>
          <w:lang w:val="en-US"/>
        </w:rPr>
        <w:t xml:space="preserve"> size</w:t>
      </w:r>
      <w:r w:rsidRPr="004F68B1">
        <w:rPr>
          <w:lang w:val="en-US"/>
        </w:rPr>
        <w:t>: This has the drawback of increased overhead in DCI.</w:t>
      </w:r>
    </w:p>
    <w:p w14:paraId="6E5A370B" w14:textId="1561B94F" w:rsidR="000911B4" w:rsidRPr="004F68B1" w:rsidRDefault="000911B4" w:rsidP="00F93256">
      <w:pPr>
        <w:pStyle w:val="ListParagraph"/>
        <w:numPr>
          <w:ilvl w:val="0"/>
          <w:numId w:val="6"/>
        </w:numPr>
        <w:rPr>
          <w:lang w:val="en-US"/>
        </w:rPr>
      </w:pPr>
      <w:r w:rsidRPr="004F68B1">
        <w:rPr>
          <w:lang w:val="en-US"/>
        </w:rPr>
        <w:t>“Downsample” the MCS table when configured with 16-QAM.</w:t>
      </w:r>
    </w:p>
    <w:p w14:paraId="407DC48B" w14:textId="5EFB522C" w:rsidR="000911B4" w:rsidRPr="004F68B1" w:rsidRDefault="000911B4" w:rsidP="000911B4">
      <w:pPr>
        <w:rPr>
          <w:lang w:val="en-US"/>
        </w:rPr>
      </w:pPr>
      <w:r w:rsidRPr="004F68B1">
        <w:rPr>
          <w:lang w:val="en-US"/>
        </w:rPr>
        <w:t xml:space="preserve">In our view, given the limitations for the use of 16-QAM (no repetitions), it would be beneficial to indicate 16-QAM allocations by the current 4-bit MCS table. Similar to what was done in eMTC for 64-QAM, </w:t>
      </w:r>
      <w:r w:rsidR="009C6D85" w:rsidRPr="004F68B1">
        <w:rPr>
          <w:lang w:val="en-US"/>
        </w:rPr>
        <w:t>the MCS field and repetition number may be jointly encoded</w:t>
      </w:r>
      <w:r w:rsidRPr="004F68B1">
        <w:rPr>
          <w:lang w:val="en-US"/>
        </w:rPr>
        <w:t>. Therefore, we make the following proposal:</w:t>
      </w:r>
    </w:p>
    <w:p w14:paraId="68E6C636" w14:textId="4666EA1F" w:rsidR="000911B4" w:rsidRPr="004F68B1" w:rsidRDefault="000911B4" w:rsidP="000911B4">
      <w:pPr>
        <w:rPr>
          <w:b/>
          <w:bCs/>
          <w:lang w:val="en-US"/>
        </w:rPr>
      </w:pPr>
      <w:r w:rsidRPr="004F68B1">
        <w:rPr>
          <w:b/>
          <w:bCs/>
          <w:u w:val="single"/>
          <w:lang w:val="en-US"/>
        </w:rPr>
        <w:t xml:space="preserve">Proposal </w:t>
      </w:r>
      <w:r w:rsidR="009C6D85" w:rsidRPr="004F68B1">
        <w:rPr>
          <w:b/>
          <w:bCs/>
          <w:u w:val="single"/>
          <w:lang w:val="en-US"/>
        </w:rPr>
        <w:t>3</w:t>
      </w:r>
      <w:r w:rsidRPr="004F68B1">
        <w:rPr>
          <w:b/>
          <w:bCs/>
          <w:u w:val="single"/>
          <w:lang w:val="en-US"/>
        </w:rPr>
        <w:t xml:space="preserve">: </w:t>
      </w:r>
      <w:r w:rsidR="009C6D85" w:rsidRPr="004F68B1">
        <w:rPr>
          <w:b/>
          <w:bCs/>
          <w:lang w:val="en-US"/>
        </w:rPr>
        <w:t>Confirm the working assumption: The DCI size is not increased to support 16-QAM in downlink.</w:t>
      </w:r>
    </w:p>
    <w:p w14:paraId="30E64003" w14:textId="61AB5A5E" w:rsidR="000911B4" w:rsidRDefault="009C6D85" w:rsidP="000911B4">
      <w:pPr>
        <w:rPr>
          <w:lang w:val="en-US"/>
        </w:rPr>
      </w:pPr>
      <w:r w:rsidRPr="004F68B1">
        <w:rPr>
          <w:lang w:val="en-US"/>
        </w:rPr>
        <w:t>Regarding TBS determination</w:t>
      </w:r>
      <w:r w:rsidR="00367B30">
        <w:rPr>
          <w:lang w:val="en-US"/>
        </w:rPr>
        <w:t>, since it was agree that 16-QAM is only supported for single repetition, we can jointly use the MCS and repetition fields to indicate 16QAM while, at the same time, indicating all the legacy values. This is because the legacy MCS table has 2 unused values. One particular implementation of this method is to use one reserved value in the TBS table to indicate the new entries, and then have the repetition number indicate which one of the new entries are used.</w:t>
      </w:r>
    </w:p>
    <w:p w14:paraId="7AA3CF51" w14:textId="091E9878" w:rsidR="00367B30" w:rsidRDefault="00367B30" w:rsidP="000911B4">
      <w:pPr>
        <w:rPr>
          <w:b/>
          <w:bCs/>
          <w:lang w:val="en-US"/>
        </w:rPr>
      </w:pPr>
      <w:r w:rsidRPr="00367B30">
        <w:rPr>
          <w:b/>
          <w:bCs/>
          <w:u w:val="single"/>
          <w:lang w:val="en-US"/>
        </w:rPr>
        <w:t>Proposal 4:</w:t>
      </w:r>
      <w:r>
        <w:rPr>
          <w:b/>
          <w:bCs/>
          <w:u w:val="single"/>
          <w:lang w:val="en-US"/>
        </w:rPr>
        <w:t xml:space="preserve"> </w:t>
      </w:r>
      <w:r>
        <w:rPr>
          <w:b/>
          <w:bCs/>
          <w:lang w:val="en-US"/>
        </w:rPr>
        <w:t xml:space="preserve">For MCS/repetition indication in DCI for </w:t>
      </w:r>
      <w:r w:rsidR="00932876">
        <w:rPr>
          <w:b/>
          <w:bCs/>
          <w:lang w:val="en-US"/>
        </w:rPr>
        <w:t xml:space="preserve">DL </w:t>
      </w:r>
      <w:r>
        <w:rPr>
          <w:b/>
          <w:bCs/>
          <w:lang w:val="en-US"/>
        </w:rPr>
        <w:t>16-QAM:</w:t>
      </w:r>
    </w:p>
    <w:p w14:paraId="3D6B8907" w14:textId="7487E845" w:rsidR="00367B30" w:rsidRDefault="00367B30" w:rsidP="000911B4">
      <w:pPr>
        <w:rPr>
          <w:b/>
          <w:bCs/>
          <w:lang w:val="en-US" w:eastAsia="x-none"/>
        </w:rPr>
      </w:pPr>
      <w:r>
        <w:rPr>
          <w:b/>
          <w:bCs/>
          <w:lang w:val="en-US"/>
        </w:rPr>
        <w:tab/>
        <w:t xml:space="preserve">- </w:t>
      </w:r>
      <w:r w:rsidRPr="00367B30">
        <w:rPr>
          <w:b/>
          <w:bCs/>
          <w:lang w:val="en-US" w:eastAsia="x-none"/>
        </w:rPr>
        <w:t>{repetition, MCS} are indicated by 8 bits (a combination of the MCS field and repetition field)</w:t>
      </w:r>
    </w:p>
    <w:p w14:paraId="1CE6887E" w14:textId="67DADBE0" w:rsidR="00367B30" w:rsidRPr="00367B30" w:rsidRDefault="00367B30" w:rsidP="000911B4">
      <w:pPr>
        <w:rPr>
          <w:b/>
          <w:bCs/>
          <w:lang w:val="en-US"/>
        </w:rPr>
      </w:pPr>
      <w:r>
        <w:rPr>
          <w:b/>
          <w:bCs/>
          <w:lang w:val="en-US" w:eastAsia="x-none"/>
        </w:rPr>
        <w:t>NOTE: a particular implementation of this method is Option 3.</w:t>
      </w:r>
    </w:p>
    <w:p w14:paraId="56975B34" w14:textId="77777777" w:rsidR="00367B30" w:rsidRPr="004F68B1" w:rsidRDefault="00367B30" w:rsidP="000911B4">
      <w:pPr>
        <w:rPr>
          <w:b/>
          <w:bCs/>
          <w:lang w:val="en-US"/>
        </w:rPr>
      </w:pPr>
    </w:p>
    <w:p w14:paraId="61AF4CE9" w14:textId="52C11E3F" w:rsidR="00874392" w:rsidRPr="004F68B1" w:rsidRDefault="00874392" w:rsidP="00874392">
      <w:pPr>
        <w:pStyle w:val="Style2"/>
        <w:numPr>
          <w:ilvl w:val="1"/>
          <w:numId w:val="1"/>
        </w:numPr>
        <w:rPr>
          <w:lang w:val="en-US"/>
        </w:rPr>
      </w:pPr>
      <w:r w:rsidRPr="004F68B1">
        <w:rPr>
          <w:lang w:val="en-US"/>
        </w:rPr>
        <w:t>Downlink power allocation</w:t>
      </w:r>
    </w:p>
    <w:p w14:paraId="4847CE66" w14:textId="594A7C5E" w:rsidR="008F345D" w:rsidRPr="004F68B1" w:rsidRDefault="004456A9" w:rsidP="00874392">
      <w:pPr>
        <w:rPr>
          <w:lang w:val="en-US"/>
        </w:rPr>
      </w:pPr>
      <w:r w:rsidRPr="004F68B1">
        <w:rPr>
          <w:lang w:val="en-US"/>
        </w:rPr>
        <w:br/>
      </w:r>
      <w:r w:rsidR="0051448E" w:rsidRPr="004F68B1">
        <w:rPr>
          <w:lang w:val="en-US"/>
        </w:rPr>
        <w:t xml:space="preserve">In LTE, the mechanism for defining the power level </w:t>
      </w:r>
      <w:r w:rsidR="00FF3C1E" w:rsidRPr="004F68B1">
        <w:rPr>
          <w:lang w:val="en-US"/>
        </w:rPr>
        <w:t>for PDSCH has considered</w:t>
      </w:r>
      <w:r w:rsidR="0051448E" w:rsidRPr="004F68B1">
        <w:rPr>
          <w:lang w:val="en-US"/>
        </w:rPr>
        <w:t xml:space="preserve"> </w:t>
      </w:r>
      <w:r w:rsidR="00FF3C1E" w:rsidRPr="004F68B1">
        <w:rPr>
          <w:lang w:val="en-US"/>
        </w:rPr>
        <w:t xml:space="preserve">the impact of </w:t>
      </w:r>
      <w:r w:rsidR="0051448E" w:rsidRPr="004F68B1">
        <w:rPr>
          <w:lang w:val="en-US"/>
        </w:rPr>
        <w:t>a single type of reference signal</w:t>
      </w:r>
      <w:r w:rsidR="00FF3C1E" w:rsidRPr="004F68B1">
        <w:rPr>
          <w:lang w:val="en-US"/>
        </w:rPr>
        <w:t xml:space="preserve">, i.e., </w:t>
      </w:r>
      <w:r w:rsidR="0051448E" w:rsidRPr="004F68B1">
        <w:rPr>
          <w:lang w:val="en-US"/>
        </w:rPr>
        <w:t xml:space="preserve">CRS. LTE defined </w:t>
      </w:r>
      <w:r w:rsidR="00FF3C1E" w:rsidRPr="004F68B1">
        <w:rPr>
          <w:lang w:val="en-US"/>
        </w:rPr>
        <w:t xml:space="preserve">power parameters </w:t>
      </w: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FF3C1E" w:rsidRPr="004F68B1">
        <w:rPr>
          <w:lang w:val="en-US"/>
        </w:rPr>
        <w:t xml:space="preserve"> for </w:t>
      </w:r>
      <w:r w:rsidR="00F85BD3" w:rsidRPr="004F68B1">
        <w:rPr>
          <w:lang w:val="en-US"/>
        </w:rPr>
        <w:t xml:space="preserve">PDSCH in </w:t>
      </w:r>
      <w:r w:rsidR="00FF3C1E" w:rsidRPr="004F68B1">
        <w:rPr>
          <w:lang w:val="en-US"/>
        </w:rPr>
        <w:t xml:space="preserve">the two types of </w:t>
      </w:r>
      <w:r w:rsidR="0051448E" w:rsidRPr="004F68B1">
        <w:rPr>
          <w:lang w:val="en-US"/>
        </w:rPr>
        <w:t>symbols (symbols with</w:t>
      </w:r>
      <w:r w:rsidR="007130B5" w:rsidRPr="004F68B1">
        <w:rPr>
          <w:lang w:val="en-US"/>
        </w:rPr>
        <w:t>out</w:t>
      </w:r>
      <w:r w:rsidR="0051448E" w:rsidRPr="004F68B1">
        <w:rPr>
          <w:lang w:val="en-US"/>
        </w:rPr>
        <w:t xml:space="preserve"> CRS and symbols </w:t>
      </w:r>
      <w:r w:rsidR="007130B5" w:rsidRPr="004F68B1">
        <w:rPr>
          <w:lang w:val="en-US"/>
        </w:rPr>
        <w:t>with</w:t>
      </w:r>
      <w:r w:rsidR="0051448E" w:rsidRPr="004F68B1">
        <w:rPr>
          <w:lang w:val="en-US"/>
        </w:rPr>
        <w:t xml:space="preserve"> CRS)</w:t>
      </w:r>
      <w:r w:rsidR="00B84F3B" w:rsidRPr="004F68B1">
        <w:rPr>
          <w:lang w:val="en-US"/>
        </w:rPr>
        <w:t>, respectively</w:t>
      </w:r>
      <m:oMath>
        <m:r>
          <w:rPr>
            <w:rFonts w:ascii="Cambria Math" w:hAnsi="Cambria Math"/>
            <w:lang w:val="en-US"/>
          </w:rPr>
          <m:t>.</m:t>
        </m:r>
      </m:oMath>
      <w:r w:rsidR="0051448E" w:rsidRPr="004F68B1">
        <w:rPr>
          <w:lang w:val="en-US"/>
        </w:rPr>
        <w:t xml:space="preserve"> In NB-IoT, we need to define </w:t>
      </w:r>
      <w:r w:rsidR="007130B5" w:rsidRPr="004F68B1">
        <w:rPr>
          <w:lang w:val="en-US"/>
        </w:rPr>
        <w:t>three</w:t>
      </w:r>
      <w:r w:rsidR="00B84F3B" w:rsidRPr="004F68B1">
        <w:rPr>
          <w:lang w:val="en-US"/>
        </w:rPr>
        <w:t xml:space="preserve"> different</w:t>
      </w:r>
      <w:r w:rsidR="007130B5" w:rsidRPr="004F68B1">
        <w:rPr>
          <w:lang w:val="en-US"/>
        </w:rPr>
        <w:t xml:space="preserve"> power parameters</w:t>
      </w:r>
      <w:r w:rsidR="00FF3C1E" w:rsidRPr="004F68B1">
        <w:rPr>
          <w:lang w:val="en-US"/>
        </w:rPr>
        <w:t xml:space="preserve"> for </w:t>
      </w:r>
      <w:r w:rsidR="00F85BD3" w:rsidRPr="004F68B1">
        <w:rPr>
          <w:lang w:val="en-US"/>
        </w:rPr>
        <w:t xml:space="preserve">NPDSCH in the </w:t>
      </w:r>
      <w:r w:rsidR="00FF3C1E" w:rsidRPr="004F68B1">
        <w:rPr>
          <w:lang w:val="en-US"/>
        </w:rPr>
        <w:t>three types of symbols</w:t>
      </w:r>
      <w:r w:rsidR="007130B5" w:rsidRPr="004F68B1">
        <w:rPr>
          <w:lang w:val="en-US"/>
        </w:rPr>
        <w:t>, that we denote as follows:</w:t>
      </w:r>
    </w:p>
    <w:p w14:paraId="38363801" w14:textId="1C3484C3" w:rsidR="007130B5" w:rsidRPr="004F68B1" w:rsidRDefault="000164C3"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oMath>
      <w:r w:rsidR="007130B5" w:rsidRPr="004F68B1">
        <w:rPr>
          <w:lang w:val="en-US"/>
        </w:rPr>
        <w:t>: Applicable to NPDSCH in symbols with NRS.</w:t>
      </w:r>
    </w:p>
    <w:p w14:paraId="130F5D4D" w14:textId="09C6EA11" w:rsidR="007130B5" w:rsidRPr="004F68B1" w:rsidRDefault="000164C3"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7130B5" w:rsidRPr="004F68B1">
        <w:rPr>
          <w:lang w:val="en-US"/>
        </w:rPr>
        <w:t>: Applicable to NPDSCH in symbols with CRS</w:t>
      </w:r>
      <w:r w:rsidR="00427E2F" w:rsidRPr="004F68B1">
        <w:rPr>
          <w:lang w:val="en-US"/>
        </w:rPr>
        <w:t xml:space="preserve"> (required for in-band NB-IoT only)</w:t>
      </w:r>
      <w:r w:rsidR="007130B5" w:rsidRPr="004F68B1">
        <w:rPr>
          <w:lang w:val="en-US"/>
        </w:rPr>
        <w:t>.</w:t>
      </w:r>
    </w:p>
    <w:p w14:paraId="4F7B0BC5" w14:textId="5618BAFC" w:rsidR="007130B5" w:rsidRPr="004F68B1" w:rsidRDefault="000164C3" w:rsidP="00F93256">
      <w:pPr>
        <w:pStyle w:val="ListParagraph"/>
        <w:numPr>
          <w:ilvl w:val="0"/>
          <w:numId w:val="4"/>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C</m:t>
            </m:r>
          </m:sub>
        </m:sSub>
      </m:oMath>
      <w:r w:rsidR="007130B5" w:rsidRPr="004F68B1">
        <w:rPr>
          <w:lang w:val="en-US"/>
        </w:rPr>
        <w:t>: Applicable to NPDSCH in symbols without NRS and CRS.</w:t>
      </w:r>
    </w:p>
    <w:p w14:paraId="20AB3916" w14:textId="616719B0" w:rsidR="007130B5" w:rsidRPr="004F68B1" w:rsidRDefault="007130B5" w:rsidP="00874392">
      <w:pPr>
        <w:rPr>
          <w:lang w:val="en-US"/>
        </w:rPr>
      </w:pPr>
      <w:r w:rsidRPr="004F68B1">
        <w:rPr>
          <w:lang w:val="en-US"/>
        </w:rPr>
        <w:t>Figure 1 shows a pictorial representation of the three different power levels and the associated OFDM symbols</w:t>
      </w:r>
      <w:r w:rsidR="0010253A" w:rsidRPr="004F68B1">
        <w:rPr>
          <w:lang w:val="en-US"/>
        </w:rPr>
        <w:t xml:space="preserve"> for in-band NB-IoT</w:t>
      </w:r>
      <w:r w:rsidRPr="004F68B1">
        <w:rPr>
          <w:lang w:val="en-US"/>
        </w:rPr>
        <w:t>.</w:t>
      </w:r>
    </w:p>
    <w:p w14:paraId="7B48D057" w14:textId="77777777" w:rsidR="008F345D" w:rsidRPr="004F68B1" w:rsidRDefault="008F345D" w:rsidP="008F345D">
      <w:pPr>
        <w:keepNext/>
        <w:rPr>
          <w:lang w:val="en-US"/>
        </w:rPr>
      </w:pPr>
      <w:r w:rsidRPr="004F68B1">
        <w:rPr>
          <w:noProof/>
          <w:lang w:val="en-US"/>
        </w:rPr>
        <w:lastRenderedPageBreak/>
        <w:drawing>
          <wp:inline distT="0" distB="0" distL="0" distR="0" wp14:anchorId="1BEF745B" wp14:editId="4C4F99EE">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528" cy="3429297"/>
                    </a:xfrm>
                    <a:prstGeom prst="rect">
                      <a:avLst/>
                    </a:prstGeom>
                  </pic:spPr>
                </pic:pic>
              </a:graphicData>
            </a:graphic>
          </wp:inline>
        </w:drawing>
      </w:r>
    </w:p>
    <w:p w14:paraId="08F2181B" w14:textId="5294AAFF" w:rsidR="008F345D" w:rsidRPr="004F68B1" w:rsidRDefault="008F345D" w:rsidP="008F345D">
      <w:pPr>
        <w:pStyle w:val="Caption"/>
        <w:jc w:val="center"/>
      </w:pPr>
      <w:r w:rsidRPr="004F68B1">
        <w:t xml:space="preserve">Figure </w:t>
      </w:r>
      <w:fldSimple w:instr=" SEQ Figure \* ARABIC ">
        <w:r w:rsidR="00435BFA" w:rsidRPr="004F68B1">
          <w:rPr>
            <w:noProof/>
          </w:rPr>
          <w:t>1</w:t>
        </w:r>
      </w:fldSimple>
      <w:r w:rsidRPr="004F68B1">
        <w:t xml:space="preserve"> Power levels for </w:t>
      </w:r>
      <w:r w:rsidR="00B84F3B" w:rsidRPr="004F68B1">
        <w:t xml:space="preserve">three types of </w:t>
      </w:r>
      <w:r w:rsidRPr="004F68B1">
        <w:t>NPDSCH</w:t>
      </w:r>
      <w:r w:rsidR="00B84F3B" w:rsidRPr="004F68B1">
        <w:t xml:space="preserve"> symbols</w:t>
      </w:r>
      <w:r w:rsidR="0010253A" w:rsidRPr="004F68B1">
        <w:t xml:space="preserve"> for in-band NB-IoT</w:t>
      </w:r>
    </w:p>
    <w:p w14:paraId="1905DE28" w14:textId="07EA9759" w:rsidR="008F345D" w:rsidRPr="004F68B1" w:rsidRDefault="009C6D85" w:rsidP="00874392">
      <w:pPr>
        <w:rPr>
          <w:lang w:val="en-US"/>
        </w:rPr>
      </w:pPr>
      <w:r w:rsidRPr="004F68B1">
        <w:rPr>
          <w:lang w:val="en-US"/>
        </w:rPr>
        <w:t xml:space="preserve">We should follow a similar approach as in LTE Rel-8 to determine the power ratios, in this case two ratios need to be signaled (the third one is obtained assuming constant power per OFDM symbol). In our view, the use case for signaling 3 separate ratios is dubious, since </w:t>
      </w:r>
      <w:r w:rsidR="008E6708" w:rsidRPr="004F68B1">
        <w:rPr>
          <w:lang w:val="en-US"/>
        </w:rPr>
        <w:t>in this case different OFDM symbols would have different total power and, therefore, the coverage will be reduced. Note that this is also the approached we followed when we defined RSS power in eMTC.</w:t>
      </w:r>
    </w:p>
    <w:p w14:paraId="66DDE69A" w14:textId="12A9B80F" w:rsidR="008E6708" w:rsidRPr="004F68B1" w:rsidRDefault="008E6708" w:rsidP="00874392">
      <w:pPr>
        <w:rPr>
          <w:lang w:val="en-US"/>
        </w:rPr>
      </w:pPr>
      <w:r w:rsidRPr="004F68B1">
        <w:rPr>
          <w:lang w:val="en-US"/>
        </w:rPr>
        <w:t xml:space="preserve">With respect to selecting among Option 2 and Option 3 in the previous meeting, these options can be seen to be mathematically equivalent. </w:t>
      </w:r>
      <w:r w:rsidR="00E61735" w:rsidRPr="004F68B1">
        <w:rPr>
          <w:lang w:val="en-US"/>
        </w:rPr>
        <w:t xml:space="preserve">Signaling the ratio between NRS and NPDSCH in symbols without NRS has probably a more clear interpretation. </w:t>
      </w:r>
    </w:p>
    <w:p w14:paraId="5C551F2A" w14:textId="21081F23" w:rsidR="00E61735" w:rsidRPr="004F68B1" w:rsidRDefault="00E61735" w:rsidP="00874392">
      <w:pPr>
        <w:rPr>
          <w:lang w:val="en-US"/>
        </w:rPr>
      </w:pPr>
      <w:r w:rsidRPr="004F68B1">
        <w:rPr>
          <w:lang w:val="en-US"/>
        </w:rPr>
        <w:t xml:space="preserve">Currently, the NRS to CRS power offset is only signaled for the case of same-PCI in </w:t>
      </w:r>
      <w:r w:rsidRPr="004F68B1">
        <w:rPr>
          <w:i/>
          <w:iCs/>
          <w:lang w:val="en-US"/>
        </w:rPr>
        <w:t>nrs-CRS-PowerOffset</w:t>
      </w:r>
      <w:r w:rsidRPr="004F68B1">
        <w:rPr>
          <w:lang w:val="en-US"/>
        </w:rPr>
        <w:t>. For the case of different PCI, this parameter was not needed (this parameter is only used for joint channel estimation, which is only feasible for the same PCI case). For determining the power ratio for 16-QAM, however, this value is needed.</w:t>
      </w:r>
    </w:p>
    <w:p w14:paraId="1406C3E2" w14:textId="7271993E" w:rsidR="00E61735" w:rsidRPr="004F68B1" w:rsidRDefault="00E61735" w:rsidP="00874392">
      <w:pPr>
        <w:rPr>
          <w:lang w:val="en-US"/>
        </w:rPr>
      </w:pPr>
      <w:r w:rsidRPr="004F68B1">
        <w:rPr>
          <w:lang w:val="en-US"/>
        </w:rPr>
        <w:t>Thus, we make the following proposal</w:t>
      </w:r>
      <w:r w:rsidR="00810100" w:rsidRPr="004F68B1">
        <w:rPr>
          <w:lang w:val="en-US"/>
        </w:rPr>
        <w:t>:</w:t>
      </w:r>
    </w:p>
    <w:p w14:paraId="51517FA5" w14:textId="4DB9B946" w:rsidR="00E61735" w:rsidRPr="004F68B1" w:rsidRDefault="00E61735" w:rsidP="00E61735">
      <w:pPr>
        <w:rPr>
          <w:b/>
          <w:lang w:val="en-US"/>
        </w:rPr>
      </w:pPr>
      <w:r w:rsidRPr="004F68B1">
        <w:rPr>
          <w:b/>
          <w:bCs/>
          <w:u w:val="single"/>
          <w:lang w:val="en-US"/>
        </w:rPr>
        <w:t xml:space="preserve">Proposal </w:t>
      </w:r>
      <w:r w:rsidR="00DF4FF0">
        <w:rPr>
          <w:b/>
          <w:bCs/>
          <w:u w:val="single"/>
          <w:lang w:val="en-US"/>
        </w:rPr>
        <w:t>5</w:t>
      </w:r>
      <w:r w:rsidRPr="004F68B1">
        <w:rPr>
          <w:b/>
          <w:bCs/>
          <w:u w:val="single"/>
          <w:lang w:val="en-US"/>
        </w:rPr>
        <w:t xml:space="preserve">: </w:t>
      </w:r>
      <w:r w:rsidRPr="004F68B1">
        <w:rPr>
          <w:b/>
          <w:lang w:val="en-US"/>
        </w:rPr>
        <w:t>For downlink power allocation to support 16QAM:</w:t>
      </w:r>
    </w:p>
    <w:p w14:paraId="3E9AC325" w14:textId="77777777" w:rsidR="00E61735" w:rsidRPr="004F68B1" w:rsidRDefault="00E61735" w:rsidP="00F93256">
      <w:pPr>
        <w:numPr>
          <w:ilvl w:val="0"/>
          <w:numId w:val="10"/>
        </w:numPr>
        <w:spacing w:after="0"/>
        <w:rPr>
          <w:b/>
          <w:lang w:val="en-US" w:eastAsia="x-none"/>
        </w:rPr>
      </w:pPr>
      <w:r w:rsidRPr="004F68B1">
        <w:rPr>
          <w:b/>
          <w:lang w:val="en-US" w:eastAsia="x-none"/>
        </w:rPr>
        <w:t>For standalone and guard-band deployments:</w:t>
      </w:r>
    </w:p>
    <w:p w14:paraId="58A48300" w14:textId="079504A8" w:rsidR="00DF4FF0" w:rsidRPr="004F68B1" w:rsidRDefault="00DF4FF0" w:rsidP="00F93256">
      <w:pPr>
        <w:pStyle w:val="ListParagraph"/>
        <w:numPr>
          <w:ilvl w:val="1"/>
          <w:numId w:val="10"/>
        </w:numPr>
        <w:overflowPunct/>
        <w:autoSpaceDE/>
        <w:autoSpaceDN/>
        <w:adjustRightInd/>
        <w:spacing w:after="0"/>
        <w:contextualSpacing w:val="0"/>
        <w:jc w:val="both"/>
        <w:textAlignment w:val="auto"/>
        <w:rPr>
          <w:b/>
          <w:lang w:val="en-US"/>
        </w:rPr>
      </w:pPr>
      <w:r w:rsidRPr="004F68B1">
        <w:rPr>
          <w:b/>
          <w:lang w:val="en-US"/>
        </w:rPr>
        <w:t xml:space="preserve">Option 3: the power ratio of NPDSCH EPRE to NRS EPRE in symbols without NRS is signaled, </w:t>
      </w:r>
      <w:r>
        <w:rPr>
          <w:b/>
          <w:lang w:val="en-US"/>
        </w:rPr>
        <w:t xml:space="preserve">and the UE calculates the power ratio of NPDSCH EPRE to NRS EPRE in symbols with NRS </w:t>
      </w:r>
      <w:r w:rsidRPr="004F68B1">
        <w:rPr>
          <w:b/>
          <w:lang w:val="en-US"/>
        </w:rPr>
        <w:t>assuming the same transmit power of different symbols.</w:t>
      </w:r>
    </w:p>
    <w:p w14:paraId="4EF894D9" w14:textId="3D487E79" w:rsidR="00E61735" w:rsidRPr="004F68B1" w:rsidRDefault="00E61735" w:rsidP="00F93256">
      <w:pPr>
        <w:numPr>
          <w:ilvl w:val="0"/>
          <w:numId w:val="10"/>
        </w:numPr>
        <w:spacing w:after="0"/>
        <w:rPr>
          <w:b/>
          <w:lang w:val="en-US" w:eastAsia="x-none"/>
        </w:rPr>
      </w:pPr>
      <w:r w:rsidRPr="004F68B1">
        <w:rPr>
          <w:b/>
          <w:lang w:val="en-US" w:eastAsia="x-none"/>
        </w:rPr>
        <w:t>For in</w:t>
      </w:r>
      <w:r w:rsidR="00A3065A">
        <w:rPr>
          <w:b/>
          <w:lang w:val="en-US" w:eastAsia="x-none"/>
        </w:rPr>
        <w:t>-</w:t>
      </w:r>
      <w:r w:rsidRPr="004F68B1">
        <w:rPr>
          <w:b/>
          <w:lang w:val="en-US" w:eastAsia="x-none"/>
        </w:rPr>
        <w:t>band deployments, the power ratio of NRS EPRE to CRS EPRE is signaled in addition to the signaling for standalone and guard-band deployments</w:t>
      </w:r>
      <w:r w:rsidR="00810100" w:rsidRPr="004F68B1">
        <w:rPr>
          <w:b/>
          <w:lang w:val="en-US" w:eastAsia="x-none"/>
        </w:rPr>
        <w:t>:</w:t>
      </w:r>
    </w:p>
    <w:p w14:paraId="31731EC7" w14:textId="19890344" w:rsidR="00E61735" w:rsidRPr="004F68B1" w:rsidRDefault="00810100" w:rsidP="00F93256">
      <w:pPr>
        <w:numPr>
          <w:ilvl w:val="1"/>
          <w:numId w:val="8"/>
        </w:numPr>
        <w:spacing w:after="0"/>
        <w:jc w:val="both"/>
        <w:rPr>
          <w:b/>
          <w:lang w:val="en-US"/>
        </w:rPr>
      </w:pPr>
      <w:r w:rsidRPr="004F68B1">
        <w:rPr>
          <w:b/>
          <w:lang w:val="en-US" w:eastAsia="x-none"/>
        </w:rPr>
        <w:t xml:space="preserve">For the case of in-band same PCI, legacy parameter </w:t>
      </w:r>
      <w:r w:rsidR="00E61735" w:rsidRPr="004F68B1">
        <w:rPr>
          <w:b/>
          <w:lang w:val="en-US"/>
        </w:rPr>
        <w:t>nrs-CRS-PowerOffset</w:t>
      </w:r>
      <w:r w:rsidRPr="004F68B1">
        <w:rPr>
          <w:b/>
          <w:lang w:val="en-US"/>
        </w:rPr>
        <w:t xml:space="preserve"> is used.</w:t>
      </w:r>
    </w:p>
    <w:p w14:paraId="384F0E10" w14:textId="5A21AA15" w:rsidR="00810100" w:rsidRPr="004F68B1" w:rsidRDefault="00810100" w:rsidP="00F93256">
      <w:pPr>
        <w:numPr>
          <w:ilvl w:val="1"/>
          <w:numId w:val="8"/>
        </w:numPr>
        <w:spacing w:after="0"/>
        <w:jc w:val="both"/>
        <w:rPr>
          <w:b/>
          <w:lang w:val="en-US"/>
        </w:rPr>
      </w:pPr>
      <w:r w:rsidRPr="004F68B1">
        <w:rPr>
          <w:b/>
          <w:lang w:val="en-US"/>
        </w:rPr>
        <w:t>For the case of in-band different PCI, a new parameter is introduced.</w:t>
      </w:r>
    </w:p>
    <w:p w14:paraId="7DDA3F9A" w14:textId="77777777" w:rsidR="00E61735" w:rsidRPr="004F68B1" w:rsidRDefault="00E61735" w:rsidP="00E61735">
      <w:pPr>
        <w:rPr>
          <w:lang w:val="en-US" w:eastAsia="x-none"/>
        </w:rPr>
      </w:pPr>
    </w:p>
    <w:p w14:paraId="404940FE" w14:textId="34DB06F2" w:rsidR="00E61735" w:rsidRPr="004F68B1" w:rsidRDefault="00810100" w:rsidP="00874392">
      <w:pPr>
        <w:rPr>
          <w:lang w:val="en-US"/>
        </w:rPr>
      </w:pPr>
      <w:r w:rsidRPr="004F68B1">
        <w:rPr>
          <w:lang w:val="en-US"/>
        </w:rPr>
        <w:t>Regarding whether the parameters above are signaled through unicast or broadcast RRC, we think unicast RRC is more appropriate for the following reasons:</w:t>
      </w:r>
    </w:p>
    <w:p w14:paraId="51A650B3" w14:textId="1E465571" w:rsidR="00810100" w:rsidRPr="004F68B1" w:rsidRDefault="00810100" w:rsidP="00F93256">
      <w:pPr>
        <w:pStyle w:val="ListParagraph"/>
        <w:numPr>
          <w:ilvl w:val="0"/>
          <w:numId w:val="10"/>
        </w:numPr>
        <w:rPr>
          <w:lang w:val="en-US"/>
        </w:rPr>
      </w:pPr>
      <w:r w:rsidRPr="004F68B1">
        <w:rPr>
          <w:lang w:val="en-US"/>
        </w:rPr>
        <w:t>Only UEs configured with 16-QAM will make use of this parameter, and 16-QAM is enabled through unicast RRC.</w:t>
      </w:r>
    </w:p>
    <w:p w14:paraId="0B488D1F" w14:textId="1F3F8BFF" w:rsidR="00810100" w:rsidRPr="004F68B1" w:rsidRDefault="00810100" w:rsidP="00F93256">
      <w:pPr>
        <w:pStyle w:val="ListParagraph"/>
        <w:numPr>
          <w:ilvl w:val="0"/>
          <w:numId w:val="10"/>
        </w:numPr>
        <w:rPr>
          <w:lang w:val="en-US"/>
        </w:rPr>
      </w:pPr>
      <w:r w:rsidRPr="004F68B1">
        <w:rPr>
          <w:lang w:val="en-US"/>
        </w:rPr>
        <w:t>Assuming different carriers may have different power ratios, this parameter needs to be UE-specific (since the unicast carrier configuration is UE-specific).</w:t>
      </w:r>
    </w:p>
    <w:p w14:paraId="63EA7B51" w14:textId="638B515A" w:rsidR="00810100" w:rsidRPr="004F68B1" w:rsidRDefault="00810100" w:rsidP="00810100">
      <w:pPr>
        <w:rPr>
          <w:lang w:val="en-US"/>
        </w:rPr>
      </w:pPr>
      <w:r w:rsidRPr="004F68B1">
        <w:rPr>
          <w:lang w:val="en-US"/>
        </w:rPr>
        <w:t>Therefore, we make the following proposal:</w:t>
      </w:r>
    </w:p>
    <w:p w14:paraId="72BCC422" w14:textId="14A0E7B7" w:rsidR="00810100" w:rsidRPr="004F68B1" w:rsidRDefault="00810100" w:rsidP="00810100">
      <w:pPr>
        <w:rPr>
          <w:b/>
          <w:bCs/>
          <w:lang w:val="en-US"/>
        </w:rPr>
      </w:pPr>
      <w:r w:rsidRPr="004F68B1">
        <w:rPr>
          <w:b/>
          <w:bCs/>
          <w:u w:val="single"/>
          <w:lang w:val="en-US"/>
        </w:rPr>
        <w:t xml:space="preserve">Proposal </w:t>
      </w:r>
      <w:r w:rsidR="00DF4FF0">
        <w:rPr>
          <w:b/>
          <w:bCs/>
          <w:u w:val="single"/>
          <w:lang w:val="en-US"/>
        </w:rPr>
        <w:t>6</w:t>
      </w:r>
      <w:r w:rsidRPr="004F68B1">
        <w:rPr>
          <w:b/>
          <w:bCs/>
          <w:u w:val="single"/>
          <w:lang w:val="en-US"/>
        </w:rPr>
        <w:t>:</w:t>
      </w:r>
      <w:r w:rsidRPr="004F68B1">
        <w:rPr>
          <w:b/>
          <w:bCs/>
          <w:lang w:val="en-US"/>
        </w:rPr>
        <w:t xml:space="preserve"> The signaling related to downlink power allocation to support 16-QAM is UE-specific.</w:t>
      </w:r>
    </w:p>
    <w:p w14:paraId="2CBA1D80" w14:textId="77777777" w:rsidR="002131AD" w:rsidRPr="004F68B1" w:rsidRDefault="002131AD" w:rsidP="00606AEB">
      <w:pPr>
        <w:rPr>
          <w:b/>
          <w:bCs/>
          <w:lang w:val="en-US"/>
        </w:rPr>
      </w:pPr>
    </w:p>
    <w:p w14:paraId="0B6E7E21" w14:textId="62176EF6"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Uplink aspects</w:t>
      </w:r>
    </w:p>
    <w:p w14:paraId="4B086911" w14:textId="788EA2E7" w:rsidR="00874392" w:rsidRPr="004F68B1" w:rsidRDefault="00820856" w:rsidP="00874392">
      <w:pPr>
        <w:pStyle w:val="Style2"/>
        <w:numPr>
          <w:ilvl w:val="1"/>
          <w:numId w:val="1"/>
        </w:numPr>
        <w:rPr>
          <w:lang w:val="en-US"/>
        </w:rPr>
      </w:pPr>
      <w:r w:rsidRPr="004F68B1">
        <w:rPr>
          <w:lang w:val="en-US"/>
        </w:rPr>
        <w:t>Design principles and differences with downlink</w:t>
      </w:r>
    </w:p>
    <w:p w14:paraId="2D1D1970" w14:textId="4AD31331" w:rsidR="000911B4" w:rsidRPr="004F68B1" w:rsidRDefault="00E571C2" w:rsidP="000911B4">
      <w:pPr>
        <w:rPr>
          <w:b/>
          <w:bCs/>
          <w:lang w:val="en-US"/>
        </w:rPr>
      </w:pPr>
      <w:r w:rsidRPr="004F68B1">
        <w:rPr>
          <w:lang w:val="en-US"/>
        </w:rPr>
        <w:br/>
        <w:t>The concepts discussed in Section 2 are in general also applicable to uplink 16-QAM</w:t>
      </w:r>
      <w:r w:rsidR="00090120">
        <w:rPr>
          <w:lang w:val="en-US"/>
        </w:rPr>
        <w:t xml:space="preserve">. For UL 16-QAM </w:t>
      </w:r>
      <w:r w:rsidR="002131AD" w:rsidRPr="004F68B1">
        <w:rPr>
          <w:lang w:val="en-US"/>
        </w:rPr>
        <w:t>.</w:t>
      </w:r>
    </w:p>
    <w:p w14:paraId="17F8A040" w14:textId="45E2AC49" w:rsidR="002131AD" w:rsidRPr="004F68B1" w:rsidRDefault="002131AD" w:rsidP="002131AD">
      <w:pPr>
        <w:rPr>
          <w:b/>
          <w:bCs/>
          <w:lang w:val="en-US"/>
        </w:rPr>
      </w:pPr>
      <w:r w:rsidRPr="004F68B1">
        <w:rPr>
          <w:b/>
          <w:bCs/>
          <w:u w:val="single"/>
          <w:lang w:val="en-US"/>
        </w:rPr>
        <w:t xml:space="preserve">Proposal </w:t>
      </w:r>
      <w:r w:rsidR="00DF4FF0">
        <w:rPr>
          <w:b/>
          <w:bCs/>
          <w:u w:val="single"/>
          <w:lang w:val="en-US"/>
        </w:rPr>
        <w:t>7</w:t>
      </w:r>
      <w:r w:rsidRPr="004F68B1">
        <w:rPr>
          <w:b/>
          <w:bCs/>
          <w:u w:val="single"/>
          <w:lang w:val="en-US"/>
        </w:rPr>
        <w:t>:</w:t>
      </w:r>
      <w:r w:rsidRPr="004F68B1">
        <w:rPr>
          <w:b/>
          <w:bCs/>
          <w:lang w:val="en-US"/>
        </w:rPr>
        <w:t xml:space="preserve"> Support UL 16-QAM during PUR procedure.</w:t>
      </w:r>
      <w:r w:rsidR="002E3884" w:rsidRPr="004F68B1">
        <w:rPr>
          <w:b/>
          <w:bCs/>
          <w:lang w:val="en-US"/>
        </w:rPr>
        <w:t xml:space="preserve"> Include the corresponding configuration flag in </w:t>
      </w:r>
      <w:r w:rsidR="002E3884" w:rsidRPr="004F68B1">
        <w:rPr>
          <w:b/>
          <w:bCs/>
          <w:i/>
          <w:iCs/>
          <w:lang w:val="en-US"/>
        </w:rPr>
        <w:t>PUR-Config</w:t>
      </w:r>
      <w:r w:rsidR="002E3884" w:rsidRPr="004F68B1">
        <w:rPr>
          <w:b/>
          <w:bCs/>
          <w:lang w:val="en-US"/>
        </w:rPr>
        <w:t>.</w:t>
      </w:r>
    </w:p>
    <w:p w14:paraId="324257FD" w14:textId="053A59E9" w:rsidR="002131AD" w:rsidRPr="004F68B1" w:rsidRDefault="002131AD" w:rsidP="002131AD">
      <w:pPr>
        <w:rPr>
          <w:b/>
          <w:bCs/>
          <w:lang w:val="en-US"/>
        </w:rPr>
      </w:pPr>
      <w:r w:rsidRPr="004F68B1">
        <w:rPr>
          <w:b/>
          <w:bCs/>
          <w:u w:val="single"/>
          <w:lang w:val="en-US"/>
        </w:rPr>
        <w:t xml:space="preserve">Proposal </w:t>
      </w:r>
      <w:r w:rsidR="00DF4FF0">
        <w:rPr>
          <w:b/>
          <w:bCs/>
          <w:u w:val="single"/>
          <w:lang w:val="en-US"/>
        </w:rPr>
        <w:t>8</w:t>
      </w:r>
      <w:r w:rsidR="00CE638D" w:rsidRPr="004F68B1">
        <w:rPr>
          <w:b/>
          <w:bCs/>
          <w:u w:val="single"/>
          <w:lang w:val="en-US"/>
        </w:rPr>
        <w:t>:</w:t>
      </w:r>
      <w:r w:rsidRPr="004F68B1">
        <w:rPr>
          <w:b/>
          <w:bCs/>
          <w:u w:val="single"/>
          <w:lang w:val="en-US"/>
        </w:rPr>
        <w:t xml:space="preserve"> </w:t>
      </w:r>
      <w:r w:rsidRPr="004F68B1">
        <w:rPr>
          <w:b/>
          <w:bCs/>
          <w:lang w:val="en-US"/>
        </w:rPr>
        <w:t>Enabling UL 16-QAM does not change the DCI size.</w:t>
      </w:r>
    </w:p>
    <w:p w14:paraId="2A6F5CC4" w14:textId="2211C10A" w:rsidR="00932876" w:rsidRPr="004F68B1" w:rsidRDefault="00932876" w:rsidP="00932876">
      <w:pPr>
        <w:rPr>
          <w:b/>
          <w:bCs/>
          <w:lang w:val="en-US"/>
        </w:rPr>
      </w:pPr>
      <w:r w:rsidRPr="004F68B1">
        <w:rPr>
          <w:b/>
          <w:bCs/>
          <w:u w:val="single"/>
          <w:lang w:val="en-US"/>
        </w:rPr>
        <w:t xml:space="preserve">Proposal </w:t>
      </w:r>
      <w:r w:rsidR="00DF4FF0">
        <w:rPr>
          <w:b/>
          <w:bCs/>
          <w:u w:val="single"/>
          <w:lang w:val="en-US"/>
        </w:rPr>
        <w:t>9</w:t>
      </w:r>
      <w:r w:rsidRPr="004F68B1">
        <w:rPr>
          <w:b/>
          <w:bCs/>
          <w:u w:val="single"/>
          <w:lang w:val="en-US"/>
        </w:rPr>
        <w:t xml:space="preserve">: </w:t>
      </w:r>
      <w:r w:rsidRPr="004F68B1">
        <w:rPr>
          <w:b/>
          <w:bCs/>
          <w:lang w:val="en-US"/>
        </w:rPr>
        <w:t xml:space="preserve">Confirm the working assumption: The DCI size is not increased to support 16-QAM in </w:t>
      </w:r>
      <w:r>
        <w:rPr>
          <w:b/>
          <w:bCs/>
          <w:lang w:val="en-US"/>
        </w:rPr>
        <w:t>uplink</w:t>
      </w:r>
      <w:r w:rsidRPr="004F68B1">
        <w:rPr>
          <w:b/>
          <w:bCs/>
          <w:lang w:val="en-US"/>
        </w:rPr>
        <w:t>.</w:t>
      </w:r>
    </w:p>
    <w:p w14:paraId="0D468E31" w14:textId="6646323A" w:rsidR="00932876" w:rsidRDefault="00932876" w:rsidP="00932876">
      <w:pPr>
        <w:rPr>
          <w:lang w:val="en-US"/>
        </w:rPr>
      </w:pPr>
      <w:r w:rsidRPr="004F68B1">
        <w:rPr>
          <w:lang w:val="en-US"/>
        </w:rPr>
        <w:t>Regarding TBS determination</w:t>
      </w:r>
      <w:r>
        <w:rPr>
          <w:lang w:val="en-US"/>
        </w:rPr>
        <w:t>, one difference is that, for UL 16QAM, one of the reserved values is already used for PUR to indicate “ACK/fallback”. Thus, if we do something similar to Option 3, the reserved value should be “15” instead of “14”.</w:t>
      </w:r>
    </w:p>
    <w:p w14:paraId="66C9B01C" w14:textId="457F1327" w:rsidR="00932876" w:rsidRDefault="00932876" w:rsidP="00932876">
      <w:pPr>
        <w:rPr>
          <w:b/>
          <w:bCs/>
          <w:lang w:val="en-US"/>
        </w:rPr>
      </w:pPr>
      <w:r w:rsidRPr="00367B30">
        <w:rPr>
          <w:b/>
          <w:bCs/>
          <w:u w:val="single"/>
          <w:lang w:val="en-US"/>
        </w:rPr>
        <w:t xml:space="preserve">Proposal </w:t>
      </w:r>
      <w:r w:rsidR="00DF4FF0">
        <w:rPr>
          <w:b/>
          <w:bCs/>
          <w:u w:val="single"/>
          <w:lang w:val="en-US"/>
        </w:rPr>
        <w:t>10</w:t>
      </w:r>
      <w:r w:rsidRPr="00367B30">
        <w:rPr>
          <w:b/>
          <w:bCs/>
          <w:u w:val="single"/>
          <w:lang w:val="en-US"/>
        </w:rPr>
        <w:t>:</w:t>
      </w:r>
      <w:r>
        <w:rPr>
          <w:b/>
          <w:bCs/>
          <w:u w:val="single"/>
          <w:lang w:val="en-US"/>
        </w:rPr>
        <w:t xml:space="preserve"> </w:t>
      </w:r>
      <w:r>
        <w:rPr>
          <w:b/>
          <w:bCs/>
          <w:lang w:val="en-US"/>
        </w:rPr>
        <w:t>For MCS/repetition indication in DCI for UL 16-QAM:</w:t>
      </w:r>
    </w:p>
    <w:p w14:paraId="627618DB" w14:textId="77777777" w:rsidR="00932876" w:rsidRDefault="00932876" w:rsidP="00932876">
      <w:pPr>
        <w:rPr>
          <w:b/>
          <w:bCs/>
          <w:lang w:val="en-US" w:eastAsia="x-none"/>
        </w:rPr>
      </w:pPr>
      <w:r>
        <w:rPr>
          <w:b/>
          <w:bCs/>
          <w:lang w:val="en-US"/>
        </w:rPr>
        <w:tab/>
        <w:t xml:space="preserve">- </w:t>
      </w:r>
      <w:r w:rsidRPr="00367B30">
        <w:rPr>
          <w:b/>
          <w:bCs/>
          <w:lang w:val="en-US" w:eastAsia="x-none"/>
        </w:rPr>
        <w:t>{repetition, MCS} are indicated by 8 bits (a combination of the MCS field and repetition field)</w:t>
      </w:r>
    </w:p>
    <w:p w14:paraId="67A47EF8" w14:textId="51B0DD4D" w:rsidR="00932876" w:rsidRPr="00367B30" w:rsidRDefault="00932876" w:rsidP="00932876">
      <w:pPr>
        <w:rPr>
          <w:b/>
          <w:bCs/>
          <w:lang w:val="en-US"/>
        </w:rPr>
      </w:pPr>
      <w:r>
        <w:rPr>
          <w:b/>
          <w:bCs/>
          <w:lang w:val="en-US" w:eastAsia="x-none"/>
        </w:rPr>
        <w:t>NOTE: a particular implementation of this method is Option 3. Note that, for Option 3, the “reserved MCS value” cannot be “14”</w:t>
      </w:r>
      <w:r w:rsidR="00A3065A">
        <w:rPr>
          <w:b/>
          <w:bCs/>
          <w:lang w:val="en-US" w:eastAsia="x-none"/>
        </w:rPr>
        <w:t xml:space="preserve"> if UL 16-QAM is supported for PUR</w:t>
      </w:r>
      <w:r>
        <w:rPr>
          <w:b/>
          <w:bCs/>
          <w:lang w:val="en-US" w:eastAsia="x-none"/>
        </w:rPr>
        <w:t>, since this value is use for PUR ACK</w:t>
      </w:r>
      <w:r w:rsidR="00A3065A">
        <w:rPr>
          <w:b/>
          <w:bCs/>
          <w:lang w:val="en-US" w:eastAsia="x-none"/>
        </w:rPr>
        <w:t>.</w:t>
      </w:r>
    </w:p>
    <w:p w14:paraId="11FDB6D4" w14:textId="31EBD7F4" w:rsidR="002131AD" w:rsidRPr="004F68B1" w:rsidRDefault="002131AD" w:rsidP="000911B4">
      <w:pPr>
        <w:rPr>
          <w:b/>
          <w:bCs/>
          <w:lang w:val="en-US"/>
        </w:rPr>
      </w:pPr>
    </w:p>
    <w:p w14:paraId="3FC88A20" w14:textId="2C41D36B" w:rsidR="00CE638D" w:rsidRPr="004F68B1" w:rsidRDefault="00CE638D" w:rsidP="000911B4">
      <w:pPr>
        <w:rPr>
          <w:lang w:val="en-US"/>
        </w:rPr>
      </w:pPr>
      <w:r w:rsidRPr="004F68B1">
        <w:rPr>
          <w:lang w:val="en-US"/>
        </w:rPr>
        <w:t>Additionally, the UE may be required to increase it</w:t>
      </w:r>
      <w:r w:rsidR="00A3065A">
        <w:rPr>
          <w:lang w:val="en-US"/>
        </w:rPr>
        <w:t>s</w:t>
      </w:r>
      <w:r w:rsidRPr="004F68B1">
        <w:rPr>
          <w:lang w:val="en-US"/>
        </w:rPr>
        <w:t xml:space="preserve"> transmit power when </w:t>
      </w:r>
      <w:r w:rsidR="002E3884" w:rsidRPr="004F68B1">
        <w:rPr>
          <w:lang w:val="en-US"/>
        </w:rPr>
        <w:t>transmitting</w:t>
      </w:r>
      <w:r w:rsidRPr="004F68B1">
        <w:rPr>
          <w:lang w:val="en-US"/>
        </w:rPr>
        <w:t xml:space="preserve"> 16-QAM (this is the case in legacy LTE). We propose to add an additional power control parameter (similar to </w:t>
      </w:r>
      <m:oMath>
        <m:sSub>
          <m:sSubPr>
            <m:ctrlPr>
              <w:rPr>
                <w:rFonts w:ascii="Cambria Math" w:hAnsi="Cambria Math"/>
                <w:i/>
                <w:lang w:val="en-US"/>
              </w:rPr>
            </m:ctrlPr>
          </m:sSubPr>
          <m:e>
            <m:r>
              <m:rPr>
                <m:sty m:val="p"/>
              </m:rPr>
              <w:rPr>
                <w:rFonts w:ascii="Cambria Math" w:hAnsi="Cambria Math"/>
                <w:lang w:val="en-US"/>
              </w:rPr>
              <m:t>Δ</m:t>
            </m:r>
            <m:ctrlPr>
              <w:rPr>
                <w:rFonts w:ascii="Cambria Math" w:hAnsi="Cambria Math"/>
                <w:lang w:val="en-US"/>
              </w:rPr>
            </m:ctrlPr>
          </m:e>
          <m:sub>
            <m:r>
              <w:rPr>
                <w:rFonts w:ascii="Cambria Math" w:hAnsi="Cambria Math"/>
                <w:lang w:val="en-US"/>
              </w:rPr>
              <m:t>TF</m:t>
            </m:r>
          </m:sub>
        </m:sSub>
      </m:oMath>
      <w:r w:rsidRPr="004F68B1">
        <w:rPr>
          <w:lang w:val="en-US"/>
        </w:rPr>
        <w:t>) for 16-QAM operation.</w:t>
      </w:r>
      <w:r w:rsidR="00932876">
        <w:rPr>
          <w:lang w:val="en-US"/>
        </w:rPr>
        <w:t xml:space="preserve"> If we do not introduce this parameter, the UE may use the same transmit power for low MCS (e.g. QPSK) or high MCS (e.g. 16-QAM), which may be inefficient.</w:t>
      </w:r>
    </w:p>
    <w:p w14:paraId="30977327" w14:textId="03E94C9D" w:rsidR="00CE638D" w:rsidRPr="004F68B1" w:rsidRDefault="00CE638D" w:rsidP="00CE638D">
      <w:pPr>
        <w:rPr>
          <w:b/>
          <w:bCs/>
          <w:lang w:val="en-US"/>
        </w:rPr>
      </w:pPr>
      <w:r w:rsidRPr="004F68B1">
        <w:rPr>
          <w:b/>
          <w:bCs/>
          <w:u w:val="single"/>
          <w:lang w:val="en-US"/>
        </w:rPr>
        <w:t>Proposal 1</w:t>
      </w:r>
      <w:r w:rsidR="00DF4FF0">
        <w:rPr>
          <w:b/>
          <w:bCs/>
          <w:u w:val="single"/>
          <w:lang w:val="en-US"/>
        </w:rPr>
        <w:t>1</w:t>
      </w:r>
      <w:r w:rsidRPr="004F68B1">
        <w:rPr>
          <w:b/>
          <w:bCs/>
          <w:u w:val="single"/>
          <w:lang w:val="en-US"/>
        </w:rPr>
        <w:t xml:space="preserve">: </w:t>
      </w:r>
      <w:r w:rsidRPr="004F68B1">
        <w:rPr>
          <w:b/>
          <w:bCs/>
          <w:lang w:val="en-US"/>
        </w:rPr>
        <w:t xml:space="preserve">RAN1 to </w:t>
      </w:r>
      <w:r w:rsidR="00932876">
        <w:rPr>
          <w:b/>
          <w:bCs/>
          <w:lang w:val="en-US"/>
        </w:rPr>
        <w:t>introduce</w:t>
      </w:r>
      <w:r w:rsidRPr="004F68B1">
        <w:rPr>
          <w:b/>
          <w:bCs/>
          <w:lang w:val="en-US"/>
        </w:rPr>
        <w:t xml:space="preserve"> an additional power control parameter to allow for increased power with 16-QAM (e.g. similar to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sidRPr="004F68B1">
        <w:rPr>
          <w:b/>
          <w:bCs/>
          <w:lang w:val="en-US"/>
        </w:rPr>
        <w:t>)</w:t>
      </w:r>
    </w:p>
    <w:p w14:paraId="36BDF61C" w14:textId="77777777" w:rsidR="00CE638D" w:rsidRPr="004F68B1" w:rsidRDefault="00CE638D" w:rsidP="000911B4">
      <w:pPr>
        <w:rPr>
          <w:b/>
          <w:bCs/>
          <w:lang w:val="en-US"/>
        </w:rPr>
      </w:pPr>
    </w:p>
    <w:p w14:paraId="1FB9E482" w14:textId="02E23AE8" w:rsidR="004F68B1" w:rsidRPr="004F68B1" w:rsidRDefault="004F68B1" w:rsidP="004F68B1">
      <w:pPr>
        <w:pStyle w:val="Heading1"/>
        <w:numPr>
          <w:ilvl w:val="0"/>
          <w:numId w:val="1"/>
        </w:numPr>
        <w:tabs>
          <w:tab w:val="clear" w:pos="1140"/>
          <w:tab w:val="num" w:pos="720"/>
        </w:tabs>
        <w:ind w:left="720" w:hanging="720"/>
        <w:jc w:val="both"/>
        <w:rPr>
          <w:lang w:val="en-US"/>
        </w:rPr>
      </w:pPr>
      <w:r w:rsidRPr="004F68B1">
        <w:rPr>
          <w:lang w:val="en-US"/>
        </w:rPr>
        <w:t>CQI feedback</w:t>
      </w:r>
    </w:p>
    <w:p w14:paraId="14EC47A7" w14:textId="383ACA1C" w:rsidR="002131AD" w:rsidRDefault="007A7F82" w:rsidP="000911B4">
      <w:pPr>
        <w:rPr>
          <w:lang w:val="en-US"/>
        </w:rPr>
      </w:pPr>
      <w:r w:rsidRPr="007A7F82">
        <w:rPr>
          <w:lang w:val="en-US"/>
        </w:rPr>
        <w:t>In Rel-16, the following agreement was made</w:t>
      </w:r>
      <w:r>
        <w:rPr>
          <w:lang w:val="en-US"/>
        </w:rPr>
        <w:t xml:space="preserve"> regarding CQI reporting:</w:t>
      </w:r>
    </w:p>
    <w:tbl>
      <w:tblPr>
        <w:tblStyle w:val="TableGrid"/>
        <w:tblW w:w="0" w:type="auto"/>
        <w:tblLook w:val="04A0" w:firstRow="1" w:lastRow="0" w:firstColumn="1" w:lastColumn="0" w:noHBand="0" w:noVBand="1"/>
      </w:tblPr>
      <w:tblGrid>
        <w:gridCol w:w="9629"/>
      </w:tblGrid>
      <w:tr w:rsidR="007A7F82" w14:paraId="7C9E8C21" w14:textId="77777777" w:rsidTr="007A7F82">
        <w:tc>
          <w:tcPr>
            <w:tcW w:w="9629" w:type="dxa"/>
          </w:tcPr>
          <w:p w14:paraId="6972D562" w14:textId="77777777" w:rsidR="007A7F82" w:rsidRPr="006126E8" w:rsidRDefault="007A7F82" w:rsidP="007A7F82">
            <w:pPr>
              <w:rPr>
                <w:b/>
                <w:highlight w:val="green"/>
              </w:rPr>
            </w:pPr>
            <w:r w:rsidRPr="006126E8">
              <w:rPr>
                <w:b/>
                <w:highlight w:val="green"/>
              </w:rPr>
              <w:t>Agreement</w:t>
            </w:r>
          </w:p>
          <w:p w14:paraId="7570F321" w14:textId="77777777" w:rsidR="007A7F82" w:rsidRPr="000674E9" w:rsidRDefault="007A7F82" w:rsidP="007A7F82">
            <w:pPr>
              <w:rPr>
                <w:lang w:eastAsia="x-none"/>
              </w:rPr>
            </w:pPr>
            <w:r w:rsidRPr="000674E9">
              <w:rPr>
                <w:lang w:eastAsia="x-none"/>
              </w:rPr>
              <w:t>For channel quality report in connected mode other than Msg3, RAN1 assumes the following aspects are decided by RAN2 and RAN4.</w:t>
            </w:r>
          </w:p>
          <w:p w14:paraId="092C33B9" w14:textId="77777777" w:rsidR="007A7F82" w:rsidRPr="000674E9" w:rsidRDefault="007A7F82" w:rsidP="00F93256">
            <w:pPr>
              <w:numPr>
                <w:ilvl w:val="0"/>
                <w:numId w:val="11"/>
              </w:numPr>
              <w:spacing w:after="0"/>
              <w:ind w:left="720" w:hanging="360"/>
            </w:pPr>
            <w:r w:rsidRPr="000674E9">
              <w:t>number of</w:t>
            </w:r>
            <w:r>
              <w:t xml:space="preserve"> candidate values for</w:t>
            </w:r>
            <w:r w:rsidRPr="000674E9">
              <w:t xml:space="preserve"> channel quality</w:t>
            </w:r>
            <w:r>
              <w:t xml:space="preserve"> reports</w:t>
            </w:r>
          </w:p>
          <w:p w14:paraId="7FC9080F" w14:textId="77777777" w:rsidR="007A7F82" w:rsidRPr="000674E9" w:rsidRDefault="007A7F82" w:rsidP="00F93256">
            <w:pPr>
              <w:numPr>
                <w:ilvl w:val="0"/>
                <w:numId w:val="11"/>
              </w:numPr>
              <w:spacing w:after="0"/>
              <w:ind w:left="720" w:hanging="360"/>
            </w:pPr>
            <w:r w:rsidRPr="000674E9">
              <w:t>mapping value of reported channel quality</w:t>
            </w:r>
          </w:p>
          <w:p w14:paraId="5E472F11" w14:textId="77777777" w:rsidR="007A7F82" w:rsidRPr="000674E9" w:rsidRDefault="007A7F82" w:rsidP="00F93256">
            <w:pPr>
              <w:numPr>
                <w:ilvl w:val="0"/>
                <w:numId w:val="11"/>
              </w:numPr>
              <w:spacing w:after="0"/>
              <w:ind w:left="720" w:hanging="360"/>
            </w:pPr>
            <w:r w:rsidRPr="000674E9">
              <w:t>report in RRC message or MAC CE</w:t>
            </w:r>
          </w:p>
          <w:p w14:paraId="54DB5025" w14:textId="77777777" w:rsidR="007A7F82" w:rsidRPr="007A7F82" w:rsidRDefault="007A7F82" w:rsidP="000911B4"/>
        </w:tc>
      </w:tr>
    </w:tbl>
    <w:p w14:paraId="618B22C3" w14:textId="05E45CFD" w:rsidR="007A7F82" w:rsidRDefault="007A7F82" w:rsidP="000911B4">
      <w:pPr>
        <w:rPr>
          <w:lang w:val="en-US"/>
        </w:rPr>
      </w:pPr>
    </w:p>
    <w:p w14:paraId="24D004E4" w14:textId="1EB53CB0" w:rsidR="007A7F82" w:rsidRDefault="007A7F82" w:rsidP="000911B4">
      <w:pPr>
        <w:rPr>
          <w:lang w:val="en-US"/>
        </w:rPr>
      </w:pPr>
      <w:r>
        <w:rPr>
          <w:lang w:val="en-US"/>
        </w:rPr>
        <w:t>RAN1 already decided in RAN1#104-b that the reporting is based on 10% PDSCH BLER. Thus, we propose that the remaining issues of this sub-objective are handled by RAN2 and RAN4</w:t>
      </w:r>
      <w:r w:rsidR="003E7D49">
        <w:rPr>
          <w:lang w:val="en-US"/>
        </w:rPr>
        <w:t>. We would like to note that the legacy reporting uses 4 bits, out of which only 13 entries are used (12 for CQI reporting, one for “no measurements”). Thus, we can use the remaining 3 values to indicate NPDSCH-based CQI.</w:t>
      </w:r>
    </w:p>
    <w:p w14:paraId="503E7F3C" w14:textId="08A3F70B" w:rsidR="003E7D49" w:rsidRDefault="003E7D49" w:rsidP="000911B4">
      <w:pPr>
        <w:rPr>
          <w:lang w:val="en-US"/>
        </w:rPr>
      </w:pPr>
    </w:p>
    <w:p w14:paraId="15491719" w14:textId="5C8441DF" w:rsidR="003E7D49" w:rsidRPr="003E7D49" w:rsidRDefault="003E7D49" w:rsidP="000911B4">
      <w:pPr>
        <w:rPr>
          <w:b/>
          <w:bCs/>
          <w:u w:val="single"/>
          <w:lang w:val="en-US"/>
        </w:rPr>
      </w:pPr>
      <w:r w:rsidRPr="003E7D49">
        <w:rPr>
          <w:b/>
          <w:bCs/>
          <w:u w:val="single"/>
          <w:lang w:val="en-US"/>
        </w:rPr>
        <w:t>Proposal</w:t>
      </w:r>
      <w:r w:rsidR="00DF4FF0">
        <w:rPr>
          <w:b/>
          <w:bCs/>
          <w:u w:val="single"/>
          <w:lang w:val="en-US"/>
        </w:rPr>
        <w:t xml:space="preserve"> 12</w:t>
      </w:r>
      <w:r w:rsidRPr="003E7D49">
        <w:rPr>
          <w:b/>
          <w:bCs/>
          <w:u w:val="single"/>
          <w:lang w:val="en-US"/>
        </w:rPr>
        <w:t xml:space="preserve">: </w:t>
      </w:r>
      <w:r w:rsidRPr="003E7D49">
        <w:rPr>
          <w:b/>
          <w:bCs/>
          <w:lang w:val="en-US"/>
        </w:rPr>
        <w:t xml:space="preserve">For </w:t>
      </w:r>
      <w:r>
        <w:rPr>
          <w:b/>
          <w:bCs/>
          <w:lang w:val="en-US"/>
        </w:rPr>
        <w:t>NPDSCH-based CQI</w:t>
      </w:r>
      <w:r w:rsidRPr="003E7D49">
        <w:rPr>
          <w:b/>
          <w:bCs/>
          <w:lang w:val="en-US"/>
        </w:rPr>
        <w:t>, RAN1 assumes that RAN2 / RAN4 will decide on the candidate values for channel quality report.</w:t>
      </w:r>
    </w:p>
    <w:p w14:paraId="1718F6EB" w14:textId="77777777" w:rsidR="004F68B1" w:rsidRPr="004F68B1" w:rsidRDefault="004F68B1" w:rsidP="000911B4">
      <w:pPr>
        <w:rPr>
          <w:b/>
          <w:bCs/>
          <w:lang w:val="en-US"/>
        </w:rPr>
      </w:pPr>
    </w:p>
    <w:p w14:paraId="72FCCC8A" w14:textId="1D08AA9D" w:rsidR="00874392" w:rsidRPr="004F68B1" w:rsidRDefault="00874392" w:rsidP="00874392">
      <w:pPr>
        <w:pStyle w:val="Heading1"/>
        <w:numPr>
          <w:ilvl w:val="0"/>
          <w:numId w:val="1"/>
        </w:numPr>
        <w:tabs>
          <w:tab w:val="clear" w:pos="1140"/>
          <w:tab w:val="num" w:pos="720"/>
        </w:tabs>
        <w:ind w:left="720" w:hanging="720"/>
        <w:jc w:val="both"/>
        <w:rPr>
          <w:lang w:val="en-US"/>
        </w:rPr>
      </w:pPr>
      <w:r w:rsidRPr="004F68B1">
        <w:rPr>
          <w:lang w:val="en-US"/>
        </w:rPr>
        <w:t>Conclusion</w:t>
      </w:r>
    </w:p>
    <w:p w14:paraId="0FFAAE8A" w14:textId="73D7186D" w:rsidR="000236C6" w:rsidRPr="004F68B1" w:rsidRDefault="000236C6" w:rsidP="006C1D96">
      <w:pPr>
        <w:rPr>
          <w:lang w:val="en-US"/>
        </w:rPr>
      </w:pPr>
      <w:r w:rsidRPr="004F68B1">
        <w:rPr>
          <w:lang w:val="en-US"/>
        </w:rPr>
        <w:t xml:space="preserve">In this contribution we presented our views on supporting 16-QAM for NB-IoT. </w:t>
      </w:r>
      <w:r w:rsidR="00DC2442" w:rsidRPr="004F68B1">
        <w:rPr>
          <w:lang w:val="en-US"/>
        </w:rPr>
        <w:t>We made the following proposals</w:t>
      </w:r>
      <w:r w:rsidR="00CE638D" w:rsidRPr="004F68B1">
        <w:rPr>
          <w:lang w:val="en-US"/>
        </w:rPr>
        <w:t>:</w:t>
      </w:r>
    </w:p>
    <w:p w14:paraId="61ACB644" w14:textId="77777777" w:rsidR="00DF4FF0" w:rsidRPr="004F68B1" w:rsidRDefault="00DF4FF0" w:rsidP="00DF4FF0">
      <w:pPr>
        <w:rPr>
          <w:b/>
          <w:bCs/>
          <w:lang w:val="en-US"/>
        </w:rPr>
      </w:pPr>
      <w:r w:rsidRPr="004F68B1">
        <w:rPr>
          <w:b/>
          <w:bCs/>
          <w:u w:val="single"/>
          <w:lang w:val="en-US"/>
        </w:rPr>
        <w:t>Proposal 1:</w:t>
      </w:r>
      <w:r w:rsidRPr="004F68B1">
        <w:rPr>
          <w:b/>
          <w:bCs/>
          <w:lang w:val="en-US"/>
        </w:rPr>
        <w:t xml:space="preserve"> Do not support DL 16-QAM during PUR procedure.</w:t>
      </w:r>
    </w:p>
    <w:p w14:paraId="7B65EAD0" w14:textId="77777777" w:rsidR="00DF4FF0" w:rsidRDefault="00DF4FF0" w:rsidP="00DF4FF0">
      <w:pPr>
        <w:rPr>
          <w:b/>
          <w:bCs/>
          <w:u w:val="single"/>
          <w:lang w:val="en-US"/>
        </w:rPr>
      </w:pPr>
    </w:p>
    <w:p w14:paraId="5D5692C0" w14:textId="0073F40B" w:rsidR="00DF4FF0" w:rsidRPr="004F68B1" w:rsidRDefault="00DF4FF0" w:rsidP="00DF4FF0">
      <w:pPr>
        <w:rPr>
          <w:b/>
          <w:bCs/>
          <w:lang w:val="en-US"/>
        </w:rPr>
      </w:pPr>
      <w:r w:rsidRPr="004F68B1">
        <w:rPr>
          <w:b/>
          <w:bCs/>
          <w:u w:val="single"/>
          <w:lang w:val="en-US"/>
        </w:rPr>
        <w:t>Proposal 2:</w:t>
      </w:r>
      <w:r w:rsidRPr="004F68B1">
        <w:rPr>
          <w:b/>
          <w:bCs/>
          <w:lang w:val="en-US"/>
        </w:rPr>
        <w:t xml:space="preserve"> Support DL 16-QAM for multi-TB scheduling.</w:t>
      </w:r>
    </w:p>
    <w:p w14:paraId="622D571E" w14:textId="77777777" w:rsidR="00DF4FF0" w:rsidRDefault="00DF4FF0" w:rsidP="00DF4FF0">
      <w:pPr>
        <w:rPr>
          <w:b/>
          <w:bCs/>
          <w:u w:val="single"/>
          <w:lang w:val="en-US"/>
        </w:rPr>
      </w:pPr>
    </w:p>
    <w:p w14:paraId="2877FD56" w14:textId="7DD4A791" w:rsidR="00DF4FF0" w:rsidRPr="004F68B1" w:rsidRDefault="00DF4FF0" w:rsidP="00DF4FF0">
      <w:pPr>
        <w:rPr>
          <w:b/>
          <w:bCs/>
          <w:lang w:val="en-US"/>
        </w:rPr>
      </w:pPr>
      <w:r w:rsidRPr="004F68B1">
        <w:rPr>
          <w:b/>
          <w:bCs/>
          <w:u w:val="single"/>
          <w:lang w:val="en-US"/>
        </w:rPr>
        <w:t xml:space="preserve">Proposal 3: </w:t>
      </w:r>
      <w:r w:rsidRPr="004F68B1">
        <w:rPr>
          <w:b/>
          <w:bCs/>
          <w:lang w:val="en-US"/>
        </w:rPr>
        <w:t>Confirm the working assumption: The DCI size is not increased to support 16-QAM in downlink.</w:t>
      </w:r>
    </w:p>
    <w:p w14:paraId="61C280D0" w14:textId="77777777" w:rsidR="00DF4FF0" w:rsidRDefault="00DF4FF0" w:rsidP="00DF4FF0">
      <w:pPr>
        <w:rPr>
          <w:b/>
          <w:bCs/>
          <w:u w:val="single"/>
          <w:lang w:val="en-US"/>
        </w:rPr>
      </w:pPr>
    </w:p>
    <w:p w14:paraId="6179A7B3" w14:textId="713D8FCC" w:rsidR="00DF4FF0" w:rsidRDefault="00DF4FF0" w:rsidP="00DF4FF0">
      <w:pPr>
        <w:rPr>
          <w:b/>
          <w:bCs/>
          <w:lang w:val="en-US"/>
        </w:rPr>
      </w:pPr>
      <w:r w:rsidRPr="00367B30">
        <w:rPr>
          <w:b/>
          <w:bCs/>
          <w:u w:val="single"/>
          <w:lang w:val="en-US"/>
        </w:rPr>
        <w:t>Proposal 4:</w:t>
      </w:r>
      <w:r>
        <w:rPr>
          <w:b/>
          <w:bCs/>
          <w:u w:val="single"/>
          <w:lang w:val="en-US"/>
        </w:rPr>
        <w:t xml:space="preserve"> </w:t>
      </w:r>
      <w:r>
        <w:rPr>
          <w:b/>
          <w:bCs/>
          <w:lang w:val="en-US"/>
        </w:rPr>
        <w:t>For MCS/repetition indication in DCI for DL 16-QAM:</w:t>
      </w:r>
    </w:p>
    <w:p w14:paraId="13236D73" w14:textId="77777777" w:rsidR="00DF4FF0" w:rsidRDefault="00DF4FF0" w:rsidP="00DF4FF0">
      <w:pPr>
        <w:rPr>
          <w:b/>
          <w:bCs/>
          <w:lang w:val="en-US" w:eastAsia="x-none"/>
        </w:rPr>
      </w:pPr>
      <w:r>
        <w:rPr>
          <w:b/>
          <w:bCs/>
          <w:lang w:val="en-US"/>
        </w:rPr>
        <w:tab/>
        <w:t xml:space="preserve">- </w:t>
      </w:r>
      <w:r w:rsidRPr="00367B30">
        <w:rPr>
          <w:b/>
          <w:bCs/>
          <w:lang w:val="en-US" w:eastAsia="x-none"/>
        </w:rPr>
        <w:t>{repetition, MCS} are indicated by 8 bits (a combination of the MCS field and repetition field)</w:t>
      </w:r>
    </w:p>
    <w:p w14:paraId="512A8C13" w14:textId="57585CE5" w:rsidR="00DF4FF0" w:rsidRDefault="00DF4FF0" w:rsidP="00DF4FF0">
      <w:pPr>
        <w:rPr>
          <w:b/>
          <w:bCs/>
          <w:lang w:val="en-US" w:eastAsia="x-none"/>
        </w:rPr>
      </w:pPr>
      <w:r>
        <w:rPr>
          <w:b/>
          <w:bCs/>
          <w:lang w:val="en-US" w:eastAsia="x-none"/>
        </w:rPr>
        <w:t>NOTE: a particular implementation of this method is Option 3.</w:t>
      </w:r>
    </w:p>
    <w:p w14:paraId="73F0A02B" w14:textId="77777777" w:rsidR="00DF4FF0" w:rsidRPr="00367B30" w:rsidRDefault="00DF4FF0" w:rsidP="00DF4FF0">
      <w:pPr>
        <w:rPr>
          <w:b/>
          <w:bCs/>
          <w:lang w:val="en-US"/>
        </w:rPr>
      </w:pPr>
    </w:p>
    <w:p w14:paraId="34274EAF" w14:textId="77777777" w:rsidR="00A3065A" w:rsidRPr="004F68B1" w:rsidRDefault="00A3065A" w:rsidP="00A3065A">
      <w:pPr>
        <w:rPr>
          <w:b/>
          <w:lang w:val="en-US"/>
        </w:rPr>
      </w:pPr>
      <w:r w:rsidRPr="004F68B1">
        <w:rPr>
          <w:b/>
          <w:bCs/>
          <w:u w:val="single"/>
          <w:lang w:val="en-US"/>
        </w:rPr>
        <w:t xml:space="preserve">Proposal </w:t>
      </w:r>
      <w:r>
        <w:rPr>
          <w:b/>
          <w:bCs/>
          <w:u w:val="single"/>
          <w:lang w:val="en-US"/>
        </w:rPr>
        <w:t>5</w:t>
      </w:r>
      <w:r w:rsidRPr="004F68B1">
        <w:rPr>
          <w:b/>
          <w:bCs/>
          <w:u w:val="single"/>
          <w:lang w:val="en-US"/>
        </w:rPr>
        <w:t xml:space="preserve">: </w:t>
      </w:r>
      <w:r w:rsidRPr="004F68B1">
        <w:rPr>
          <w:b/>
          <w:lang w:val="en-US"/>
        </w:rPr>
        <w:t>For downlink power allocation to support 16QAM:</w:t>
      </w:r>
    </w:p>
    <w:p w14:paraId="63026524" w14:textId="77777777" w:rsidR="00A3065A" w:rsidRPr="004F68B1" w:rsidRDefault="00A3065A" w:rsidP="00A3065A">
      <w:pPr>
        <w:numPr>
          <w:ilvl w:val="0"/>
          <w:numId w:val="10"/>
        </w:numPr>
        <w:spacing w:after="0"/>
        <w:rPr>
          <w:b/>
          <w:lang w:val="en-US" w:eastAsia="x-none"/>
        </w:rPr>
      </w:pPr>
      <w:r w:rsidRPr="004F68B1">
        <w:rPr>
          <w:b/>
          <w:lang w:val="en-US" w:eastAsia="x-none"/>
        </w:rPr>
        <w:t>For standalone and guard-band deployments:</w:t>
      </w:r>
    </w:p>
    <w:p w14:paraId="6DEF008C" w14:textId="77777777" w:rsidR="00A3065A" w:rsidRPr="004F68B1" w:rsidRDefault="00A3065A" w:rsidP="00A3065A">
      <w:pPr>
        <w:pStyle w:val="ListParagraph"/>
        <w:numPr>
          <w:ilvl w:val="1"/>
          <w:numId w:val="10"/>
        </w:numPr>
        <w:overflowPunct/>
        <w:autoSpaceDE/>
        <w:autoSpaceDN/>
        <w:adjustRightInd/>
        <w:spacing w:after="0"/>
        <w:contextualSpacing w:val="0"/>
        <w:jc w:val="both"/>
        <w:textAlignment w:val="auto"/>
        <w:rPr>
          <w:b/>
          <w:lang w:val="en-US"/>
        </w:rPr>
      </w:pPr>
      <w:r w:rsidRPr="004F68B1">
        <w:rPr>
          <w:b/>
          <w:lang w:val="en-US"/>
        </w:rPr>
        <w:t xml:space="preserve">Option 3: the power ratio of NPDSCH EPRE to NRS EPRE in symbols without NRS is signaled, </w:t>
      </w:r>
      <w:r>
        <w:rPr>
          <w:b/>
          <w:lang w:val="en-US"/>
        </w:rPr>
        <w:t xml:space="preserve">and the UE calculates the power ratio of NPDSCH EPRE to NRS EPRE in symbols with NRS </w:t>
      </w:r>
      <w:r w:rsidRPr="004F68B1">
        <w:rPr>
          <w:b/>
          <w:lang w:val="en-US"/>
        </w:rPr>
        <w:t>assuming the same transmit power of different symbols.</w:t>
      </w:r>
    </w:p>
    <w:p w14:paraId="2A003656" w14:textId="77777777" w:rsidR="00A3065A" w:rsidRPr="004F68B1" w:rsidRDefault="00A3065A" w:rsidP="00A3065A">
      <w:pPr>
        <w:numPr>
          <w:ilvl w:val="0"/>
          <w:numId w:val="10"/>
        </w:numPr>
        <w:spacing w:after="0"/>
        <w:rPr>
          <w:b/>
          <w:lang w:val="en-US" w:eastAsia="x-none"/>
        </w:rPr>
      </w:pPr>
      <w:r w:rsidRPr="004F68B1">
        <w:rPr>
          <w:b/>
          <w:lang w:val="en-US" w:eastAsia="x-none"/>
        </w:rPr>
        <w:t>For in</w:t>
      </w:r>
      <w:r>
        <w:rPr>
          <w:b/>
          <w:lang w:val="en-US" w:eastAsia="x-none"/>
        </w:rPr>
        <w:t>-</w:t>
      </w:r>
      <w:r w:rsidRPr="004F68B1">
        <w:rPr>
          <w:b/>
          <w:lang w:val="en-US" w:eastAsia="x-none"/>
        </w:rPr>
        <w:t>band deployments, the power ratio of NRS EPRE to CRS EPRE is signaled in addition to the signaling for standalone and guard-band deployments:</w:t>
      </w:r>
    </w:p>
    <w:p w14:paraId="653153F6" w14:textId="77777777" w:rsidR="00A3065A" w:rsidRPr="004F68B1" w:rsidRDefault="00A3065A" w:rsidP="00A3065A">
      <w:pPr>
        <w:numPr>
          <w:ilvl w:val="1"/>
          <w:numId w:val="8"/>
        </w:numPr>
        <w:spacing w:after="0"/>
        <w:jc w:val="both"/>
        <w:rPr>
          <w:b/>
          <w:lang w:val="en-US"/>
        </w:rPr>
      </w:pPr>
      <w:r w:rsidRPr="004F68B1">
        <w:rPr>
          <w:b/>
          <w:lang w:val="en-US" w:eastAsia="x-none"/>
        </w:rPr>
        <w:t xml:space="preserve">For the case of in-band same PCI, legacy parameter </w:t>
      </w:r>
      <w:r w:rsidRPr="004F68B1">
        <w:rPr>
          <w:b/>
          <w:lang w:val="en-US"/>
        </w:rPr>
        <w:t>nrs-CRS-PowerOffset is used.</w:t>
      </w:r>
    </w:p>
    <w:p w14:paraId="306EF297" w14:textId="77777777" w:rsidR="00A3065A" w:rsidRPr="004F68B1" w:rsidRDefault="00A3065A" w:rsidP="00A3065A">
      <w:pPr>
        <w:numPr>
          <w:ilvl w:val="1"/>
          <w:numId w:val="8"/>
        </w:numPr>
        <w:spacing w:after="0"/>
        <w:jc w:val="both"/>
        <w:rPr>
          <w:b/>
          <w:lang w:val="en-US"/>
        </w:rPr>
      </w:pPr>
      <w:r w:rsidRPr="004F68B1">
        <w:rPr>
          <w:b/>
          <w:lang w:val="en-US"/>
        </w:rPr>
        <w:t>For the case of in-band different PCI, a new parameter is introduced.</w:t>
      </w:r>
    </w:p>
    <w:p w14:paraId="5B2C7A56" w14:textId="77777777" w:rsidR="00DF4FF0" w:rsidRPr="004F68B1" w:rsidRDefault="00DF4FF0" w:rsidP="00DF4FF0">
      <w:pPr>
        <w:rPr>
          <w:lang w:val="en-US" w:eastAsia="x-none"/>
        </w:rPr>
      </w:pPr>
    </w:p>
    <w:p w14:paraId="3FEF4A6F" w14:textId="77777777" w:rsidR="00DF4FF0" w:rsidRPr="004F68B1" w:rsidRDefault="00DF4FF0" w:rsidP="00DF4FF0">
      <w:pPr>
        <w:rPr>
          <w:b/>
          <w:bCs/>
          <w:lang w:val="en-US"/>
        </w:rPr>
      </w:pPr>
      <w:r w:rsidRPr="004F68B1">
        <w:rPr>
          <w:b/>
          <w:bCs/>
          <w:u w:val="single"/>
          <w:lang w:val="en-US"/>
        </w:rPr>
        <w:t xml:space="preserve">Proposal </w:t>
      </w:r>
      <w:r>
        <w:rPr>
          <w:b/>
          <w:bCs/>
          <w:u w:val="single"/>
          <w:lang w:val="en-US"/>
        </w:rPr>
        <w:t>6</w:t>
      </w:r>
      <w:r w:rsidRPr="004F68B1">
        <w:rPr>
          <w:b/>
          <w:bCs/>
          <w:u w:val="single"/>
          <w:lang w:val="en-US"/>
        </w:rPr>
        <w:t>:</w:t>
      </w:r>
      <w:r w:rsidRPr="004F68B1">
        <w:rPr>
          <w:b/>
          <w:bCs/>
          <w:lang w:val="en-US"/>
        </w:rPr>
        <w:t xml:space="preserve"> The signaling related to downlink power allocation to support 16-QAM is UE-specific.</w:t>
      </w:r>
    </w:p>
    <w:p w14:paraId="5A074EA7" w14:textId="77777777" w:rsidR="00DF4FF0" w:rsidRPr="004F68B1" w:rsidRDefault="00DF4FF0" w:rsidP="00DF4FF0">
      <w:pPr>
        <w:rPr>
          <w:b/>
          <w:bCs/>
          <w:lang w:val="en-US"/>
        </w:rPr>
      </w:pPr>
    </w:p>
    <w:p w14:paraId="056CEF9C" w14:textId="77777777" w:rsidR="00DF4FF0" w:rsidRPr="004F68B1" w:rsidRDefault="00DF4FF0" w:rsidP="00DF4FF0">
      <w:pPr>
        <w:rPr>
          <w:b/>
          <w:bCs/>
          <w:lang w:val="en-US"/>
        </w:rPr>
      </w:pPr>
      <w:r w:rsidRPr="004F68B1">
        <w:rPr>
          <w:b/>
          <w:bCs/>
          <w:u w:val="single"/>
          <w:lang w:val="en-US"/>
        </w:rPr>
        <w:t xml:space="preserve">Proposal </w:t>
      </w:r>
      <w:r>
        <w:rPr>
          <w:b/>
          <w:bCs/>
          <w:u w:val="single"/>
          <w:lang w:val="en-US"/>
        </w:rPr>
        <w:t>7</w:t>
      </w:r>
      <w:r w:rsidRPr="004F68B1">
        <w:rPr>
          <w:b/>
          <w:bCs/>
          <w:u w:val="single"/>
          <w:lang w:val="en-US"/>
        </w:rPr>
        <w:t>:</w:t>
      </w:r>
      <w:r w:rsidRPr="004F68B1">
        <w:rPr>
          <w:b/>
          <w:bCs/>
          <w:lang w:val="en-US"/>
        </w:rPr>
        <w:t xml:space="preserve"> Support UL 16-QAM during PUR procedure. Include the corresponding configuration flag in </w:t>
      </w:r>
      <w:r w:rsidRPr="004F68B1">
        <w:rPr>
          <w:b/>
          <w:bCs/>
          <w:i/>
          <w:iCs/>
          <w:lang w:val="en-US"/>
        </w:rPr>
        <w:t>PUR-Config</w:t>
      </w:r>
      <w:r w:rsidRPr="004F68B1">
        <w:rPr>
          <w:b/>
          <w:bCs/>
          <w:lang w:val="en-US"/>
        </w:rPr>
        <w:t>.</w:t>
      </w:r>
    </w:p>
    <w:p w14:paraId="588DEA0A" w14:textId="77777777" w:rsidR="00DF4FF0" w:rsidRDefault="00DF4FF0" w:rsidP="00DF4FF0">
      <w:pPr>
        <w:rPr>
          <w:b/>
          <w:bCs/>
          <w:u w:val="single"/>
          <w:lang w:val="en-US"/>
        </w:rPr>
      </w:pPr>
    </w:p>
    <w:p w14:paraId="3F30E041" w14:textId="224BFF4D" w:rsidR="00DF4FF0" w:rsidRPr="004F68B1" w:rsidRDefault="00DF4FF0" w:rsidP="00DF4FF0">
      <w:pPr>
        <w:rPr>
          <w:b/>
          <w:bCs/>
          <w:lang w:val="en-US"/>
        </w:rPr>
      </w:pPr>
      <w:r w:rsidRPr="004F68B1">
        <w:rPr>
          <w:b/>
          <w:bCs/>
          <w:u w:val="single"/>
          <w:lang w:val="en-US"/>
        </w:rPr>
        <w:t xml:space="preserve">Proposal </w:t>
      </w:r>
      <w:r>
        <w:rPr>
          <w:b/>
          <w:bCs/>
          <w:u w:val="single"/>
          <w:lang w:val="en-US"/>
        </w:rPr>
        <w:t>8</w:t>
      </w:r>
      <w:r w:rsidRPr="004F68B1">
        <w:rPr>
          <w:b/>
          <w:bCs/>
          <w:u w:val="single"/>
          <w:lang w:val="en-US"/>
        </w:rPr>
        <w:t xml:space="preserve">: </w:t>
      </w:r>
      <w:r w:rsidRPr="004F68B1">
        <w:rPr>
          <w:b/>
          <w:bCs/>
          <w:lang w:val="en-US"/>
        </w:rPr>
        <w:t>Enabling UL 16-QAM does not change the DCI size.</w:t>
      </w:r>
    </w:p>
    <w:p w14:paraId="5B6DE737" w14:textId="77777777" w:rsidR="00DF4FF0" w:rsidRDefault="00DF4FF0" w:rsidP="00DF4FF0">
      <w:pPr>
        <w:rPr>
          <w:b/>
          <w:bCs/>
          <w:u w:val="single"/>
          <w:lang w:val="en-US"/>
        </w:rPr>
      </w:pPr>
    </w:p>
    <w:p w14:paraId="5117FA60" w14:textId="4AF606C1" w:rsidR="00DF4FF0" w:rsidRPr="004F68B1" w:rsidRDefault="00DF4FF0" w:rsidP="00DF4FF0">
      <w:pPr>
        <w:rPr>
          <w:b/>
          <w:bCs/>
          <w:lang w:val="en-US"/>
        </w:rPr>
      </w:pPr>
      <w:r w:rsidRPr="004F68B1">
        <w:rPr>
          <w:b/>
          <w:bCs/>
          <w:u w:val="single"/>
          <w:lang w:val="en-US"/>
        </w:rPr>
        <w:t xml:space="preserve">Proposal </w:t>
      </w:r>
      <w:r>
        <w:rPr>
          <w:b/>
          <w:bCs/>
          <w:u w:val="single"/>
          <w:lang w:val="en-US"/>
        </w:rPr>
        <w:t>9</w:t>
      </w:r>
      <w:r w:rsidRPr="004F68B1">
        <w:rPr>
          <w:b/>
          <w:bCs/>
          <w:u w:val="single"/>
          <w:lang w:val="en-US"/>
        </w:rPr>
        <w:t xml:space="preserve">: </w:t>
      </w:r>
      <w:r w:rsidRPr="004F68B1">
        <w:rPr>
          <w:b/>
          <w:bCs/>
          <w:lang w:val="en-US"/>
        </w:rPr>
        <w:t xml:space="preserve">Confirm the working assumption: The DCI size is not increased to support 16-QAM in </w:t>
      </w:r>
      <w:r>
        <w:rPr>
          <w:b/>
          <w:bCs/>
          <w:lang w:val="en-US"/>
        </w:rPr>
        <w:t>uplink</w:t>
      </w:r>
      <w:r w:rsidRPr="004F68B1">
        <w:rPr>
          <w:b/>
          <w:bCs/>
          <w:lang w:val="en-US"/>
        </w:rPr>
        <w:t>.</w:t>
      </w:r>
    </w:p>
    <w:p w14:paraId="1C999501" w14:textId="77777777" w:rsidR="00DF4FF0" w:rsidRDefault="00DF4FF0" w:rsidP="00DF4FF0">
      <w:pPr>
        <w:rPr>
          <w:b/>
          <w:bCs/>
          <w:u w:val="single"/>
          <w:lang w:val="en-US"/>
        </w:rPr>
      </w:pPr>
    </w:p>
    <w:p w14:paraId="639C9CB0" w14:textId="1332BD6C" w:rsidR="00DF4FF0" w:rsidRDefault="00DF4FF0" w:rsidP="00DF4FF0">
      <w:pPr>
        <w:rPr>
          <w:b/>
          <w:bCs/>
          <w:lang w:val="en-US"/>
        </w:rPr>
      </w:pPr>
      <w:r w:rsidRPr="00367B30">
        <w:rPr>
          <w:b/>
          <w:bCs/>
          <w:u w:val="single"/>
          <w:lang w:val="en-US"/>
        </w:rPr>
        <w:t xml:space="preserve">Proposal </w:t>
      </w:r>
      <w:r>
        <w:rPr>
          <w:b/>
          <w:bCs/>
          <w:u w:val="single"/>
          <w:lang w:val="en-US"/>
        </w:rPr>
        <w:t>10</w:t>
      </w:r>
      <w:r w:rsidRPr="00367B30">
        <w:rPr>
          <w:b/>
          <w:bCs/>
          <w:u w:val="single"/>
          <w:lang w:val="en-US"/>
        </w:rPr>
        <w:t>:</w:t>
      </w:r>
      <w:r>
        <w:rPr>
          <w:b/>
          <w:bCs/>
          <w:u w:val="single"/>
          <w:lang w:val="en-US"/>
        </w:rPr>
        <w:t xml:space="preserve"> </w:t>
      </w:r>
      <w:r>
        <w:rPr>
          <w:b/>
          <w:bCs/>
          <w:lang w:val="en-US"/>
        </w:rPr>
        <w:t>For MCS/repetition indication in DCI for UL 16-QAM:</w:t>
      </w:r>
    </w:p>
    <w:p w14:paraId="0A33E8C7" w14:textId="77777777" w:rsidR="00DF4FF0" w:rsidRDefault="00DF4FF0" w:rsidP="00DF4FF0">
      <w:pPr>
        <w:rPr>
          <w:b/>
          <w:bCs/>
          <w:lang w:val="en-US" w:eastAsia="x-none"/>
        </w:rPr>
      </w:pPr>
      <w:r>
        <w:rPr>
          <w:b/>
          <w:bCs/>
          <w:lang w:val="en-US"/>
        </w:rPr>
        <w:tab/>
        <w:t xml:space="preserve">- </w:t>
      </w:r>
      <w:r w:rsidRPr="00367B30">
        <w:rPr>
          <w:b/>
          <w:bCs/>
          <w:lang w:val="en-US" w:eastAsia="x-none"/>
        </w:rPr>
        <w:t>{repetition, MCS} are indicated by 8 bits (a combination of the MCS field and repetition field)</w:t>
      </w:r>
    </w:p>
    <w:p w14:paraId="0475CFCC" w14:textId="77777777" w:rsidR="00DF4FF0" w:rsidRPr="00367B30" w:rsidRDefault="00DF4FF0" w:rsidP="00DF4FF0">
      <w:pPr>
        <w:rPr>
          <w:b/>
          <w:bCs/>
          <w:lang w:val="en-US"/>
        </w:rPr>
      </w:pPr>
      <w:r>
        <w:rPr>
          <w:b/>
          <w:bCs/>
          <w:lang w:val="en-US" w:eastAsia="x-none"/>
        </w:rPr>
        <w:t>NOTE: a particular implementation of this method is Option 3. Note that, for Option 3, the “reserved MCS value” cannot be “14”, since this value is use for PUR ACK</w:t>
      </w:r>
    </w:p>
    <w:p w14:paraId="36B16CBF" w14:textId="77777777" w:rsidR="00DF4FF0" w:rsidRPr="004F68B1" w:rsidRDefault="00DF4FF0" w:rsidP="00DF4FF0">
      <w:pPr>
        <w:rPr>
          <w:b/>
          <w:bCs/>
          <w:lang w:val="en-US"/>
        </w:rPr>
      </w:pPr>
    </w:p>
    <w:p w14:paraId="23A79DED" w14:textId="7D0B6779" w:rsidR="00DF4FF0" w:rsidRPr="004F68B1" w:rsidRDefault="00DF4FF0" w:rsidP="00DF4FF0">
      <w:pPr>
        <w:rPr>
          <w:b/>
          <w:bCs/>
          <w:lang w:val="en-US"/>
        </w:rPr>
      </w:pPr>
      <w:r w:rsidRPr="004F68B1">
        <w:rPr>
          <w:b/>
          <w:bCs/>
          <w:u w:val="single"/>
          <w:lang w:val="en-US"/>
        </w:rPr>
        <w:t>Proposal 1</w:t>
      </w:r>
      <w:r>
        <w:rPr>
          <w:b/>
          <w:bCs/>
          <w:u w:val="single"/>
          <w:lang w:val="en-US"/>
        </w:rPr>
        <w:t>1</w:t>
      </w:r>
      <w:r w:rsidRPr="004F68B1">
        <w:rPr>
          <w:b/>
          <w:bCs/>
          <w:u w:val="single"/>
          <w:lang w:val="en-US"/>
        </w:rPr>
        <w:t xml:space="preserve">: </w:t>
      </w:r>
      <w:r w:rsidRPr="004F68B1">
        <w:rPr>
          <w:b/>
          <w:bCs/>
          <w:lang w:val="en-US"/>
        </w:rPr>
        <w:t xml:space="preserve">RAN1 to </w:t>
      </w:r>
      <w:r>
        <w:rPr>
          <w:b/>
          <w:bCs/>
          <w:lang w:val="en-US"/>
        </w:rPr>
        <w:t>introduce</w:t>
      </w:r>
      <w:r w:rsidRPr="004F68B1">
        <w:rPr>
          <w:b/>
          <w:bCs/>
          <w:lang w:val="en-US"/>
        </w:rPr>
        <w:t xml:space="preserve"> an additional power control parameter to allow for increased power with 16-QAM (e.g. similar to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TF</m:t>
            </m:r>
          </m:sub>
        </m:sSub>
      </m:oMath>
      <w:r w:rsidRPr="004F68B1">
        <w:rPr>
          <w:b/>
          <w:bCs/>
          <w:lang w:val="en-US"/>
        </w:rPr>
        <w:t>)</w:t>
      </w:r>
    </w:p>
    <w:p w14:paraId="7062467D" w14:textId="21160C4A" w:rsidR="00DF4FF0" w:rsidRDefault="00DF4FF0" w:rsidP="00DF4FF0">
      <w:pPr>
        <w:rPr>
          <w:b/>
          <w:bCs/>
          <w:lang w:val="en-US"/>
        </w:rPr>
      </w:pPr>
    </w:p>
    <w:p w14:paraId="33F9DA26" w14:textId="77777777" w:rsidR="00DF4FF0" w:rsidRPr="003E7D49" w:rsidRDefault="00DF4FF0" w:rsidP="00DF4FF0">
      <w:pPr>
        <w:rPr>
          <w:b/>
          <w:bCs/>
          <w:u w:val="single"/>
          <w:lang w:val="en-US"/>
        </w:rPr>
      </w:pPr>
      <w:r w:rsidRPr="003E7D49">
        <w:rPr>
          <w:b/>
          <w:bCs/>
          <w:u w:val="single"/>
          <w:lang w:val="en-US"/>
        </w:rPr>
        <w:t>Proposal</w:t>
      </w:r>
      <w:r>
        <w:rPr>
          <w:b/>
          <w:bCs/>
          <w:u w:val="single"/>
          <w:lang w:val="en-US"/>
        </w:rPr>
        <w:t xml:space="preserve"> 12</w:t>
      </w:r>
      <w:r w:rsidRPr="003E7D49">
        <w:rPr>
          <w:b/>
          <w:bCs/>
          <w:u w:val="single"/>
          <w:lang w:val="en-US"/>
        </w:rPr>
        <w:t xml:space="preserve">: </w:t>
      </w:r>
      <w:r w:rsidRPr="003E7D49">
        <w:rPr>
          <w:b/>
          <w:bCs/>
          <w:lang w:val="en-US"/>
        </w:rPr>
        <w:t xml:space="preserve">For </w:t>
      </w:r>
      <w:r>
        <w:rPr>
          <w:b/>
          <w:bCs/>
          <w:lang w:val="en-US"/>
        </w:rPr>
        <w:t>NPDSCH-based CQI</w:t>
      </w:r>
      <w:r w:rsidRPr="003E7D49">
        <w:rPr>
          <w:b/>
          <w:bCs/>
          <w:lang w:val="en-US"/>
        </w:rPr>
        <w:t>, RAN1 assumes that RAN2 / RAN4 will decide on the candidate values for channel quality report.</w:t>
      </w:r>
    </w:p>
    <w:p w14:paraId="1214FE83" w14:textId="77777777" w:rsidR="0081070E" w:rsidRPr="004F68B1" w:rsidRDefault="0081070E" w:rsidP="006C1D96">
      <w:pPr>
        <w:rPr>
          <w:b/>
          <w:bCs/>
          <w:lang w:val="en-US"/>
        </w:rPr>
      </w:pPr>
    </w:p>
    <w:p w14:paraId="109C1472" w14:textId="77777777" w:rsidR="00874392" w:rsidRPr="004F68B1" w:rsidRDefault="00874392" w:rsidP="00874392">
      <w:pPr>
        <w:pStyle w:val="Heading1"/>
        <w:jc w:val="both"/>
        <w:rPr>
          <w:lang w:val="en-US"/>
        </w:rPr>
      </w:pPr>
      <w:r w:rsidRPr="004F68B1">
        <w:rPr>
          <w:lang w:val="en-US"/>
        </w:rPr>
        <w:t>References</w:t>
      </w:r>
    </w:p>
    <w:p w14:paraId="44997BAF" w14:textId="77777777" w:rsidR="00874392" w:rsidRPr="004F68B1" w:rsidRDefault="00874392" w:rsidP="00874392">
      <w:pPr>
        <w:rPr>
          <w:lang w:val="en-US"/>
        </w:rPr>
      </w:pPr>
      <w:r w:rsidRPr="004F68B1">
        <w:rPr>
          <w:lang w:val="en-US"/>
        </w:rPr>
        <w:t>[1] RP-201306, WID revision: Additional enhancements for NB-IoT and LTE-MTC</w:t>
      </w:r>
    </w:p>
    <w:p w14:paraId="71D258E5" w14:textId="77777777" w:rsidR="001D4791" w:rsidRPr="004F68B1" w:rsidRDefault="001D4791" w:rsidP="001B159B">
      <w:pPr>
        <w:rPr>
          <w:lang w:val="en-US"/>
        </w:rPr>
      </w:pPr>
    </w:p>
    <w:sectPr w:rsidR="001D4791" w:rsidRPr="004F68B1" w:rsidSect="00717C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23521" w14:textId="77777777" w:rsidR="000164C3" w:rsidRDefault="000164C3">
      <w:pPr>
        <w:spacing w:after="0"/>
      </w:pPr>
      <w:r>
        <w:separator/>
      </w:r>
    </w:p>
  </w:endnote>
  <w:endnote w:type="continuationSeparator" w:id="0">
    <w:p w14:paraId="33B1D195" w14:textId="77777777" w:rsidR="000164C3" w:rsidRDefault="000164C3">
      <w:pPr>
        <w:spacing w:after="0"/>
      </w:pPr>
      <w:r>
        <w:continuationSeparator/>
      </w:r>
    </w:p>
  </w:endnote>
  <w:endnote w:type="continuationNotice" w:id="1">
    <w:p w14:paraId="79A04FA5" w14:textId="77777777" w:rsidR="000164C3" w:rsidRDefault="00016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96D0B" w:rsidRDefault="00796D0B"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96D0B" w:rsidRDefault="00796D0B"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96D0B" w:rsidRDefault="00796D0B"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96D0B" w:rsidRDefault="00796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E7FB5" w14:textId="77777777" w:rsidR="000164C3" w:rsidRDefault="000164C3">
      <w:pPr>
        <w:spacing w:after="0"/>
      </w:pPr>
      <w:r>
        <w:separator/>
      </w:r>
    </w:p>
  </w:footnote>
  <w:footnote w:type="continuationSeparator" w:id="0">
    <w:p w14:paraId="468B447C" w14:textId="77777777" w:rsidR="000164C3" w:rsidRDefault="000164C3">
      <w:pPr>
        <w:spacing w:after="0"/>
      </w:pPr>
      <w:r>
        <w:continuationSeparator/>
      </w:r>
    </w:p>
  </w:footnote>
  <w:footnote w:type="continuationNotice" w:id="1">
    <w:p w14:paraId="134E8F8D" w14:textId="77777777" w:rsidR="000164C3" w:rsidRDefault="00016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96D0B" w:rsidRDefault="00796D0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96D0B" w:rsidRDefault="00796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96D0B" w:rsidRDefault="00796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C2085A"/>
    <w:multiLevelType w:val="hybridMultilevel"/>
    <w:tmpl w:val="0A5CD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0"/>
  </w:num>
  <w:num w:numId="3">
    <w:abstractNumId w:val="2"/>
  </w:num>
  <w:num w:numId="4">
    <w:abstractNumId w:val="6"/>
  </w:num>
  <w:num w:numId="5">
    <w:abstractNumId w:val="1"/>
  </w:num>
  <w:num w:numId="6">
    <w:abstractNumId w:val="9"/>
  </w:num>
  <w:num w:numId="7">
    <w:abstractNumId w:val="3"/>
  </w:num>
  <w:num w:numId="8">
    <w:abstractNumId w:val="8"/>
  </w:num>
  <w:num w:numId="9">
    <w:abstractNumId w:val="4"/>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164C3"/>
    <w:rsid w:val="0002016E"/>
    <w:rsid w:val="00022216"/>
    <w:rsid w:val="000236C6"/>
    <w:rsid w:val="000301DA"/>
    <w:rsid w:val="00037582"/>
    <w:rsid w:val="00042869"/>
    <w:rsid w:val="00054E5C"/>
    <w:rsid w:val="00063DAE"/>
    <w:rsid w:val="0007550D"/>
    <w:rsid w:val="00081CDD"/>
    <w:rsid w:val="00090120"/>
    <w:rsid w:val="000911B4"/>
    <w:rsid w:val="00097E6B"/>
    <w:rsid w:val="000B1990"/>
    <w:rsid w:val="000E330D"/>
    <w:rsid w:val="0010253A"/>
    <w:rsid w:val="00122D19"/>
    <w:rsid w:val="00124E5D"/>
    <w:rsid w:val="00125DAC"/>
    <w:rsid w:val="0013602A"/>
    <w:rsid w:val="00146E52"/>
    <w:rsid w:val="00154C05"/>
    <w:rsid w:val="0015790E"/>
    <w:rsid w:val="00190E24"/>
    <w:rsid w:val="001A452F"/>
    <w:rsid w:val="001A5BF3"/>
    <w:rsid w:val="001B159B"/>
    <w:rsid w:val="001B1EC7"/>
    <w:rsid w:val="001C099B"/>
    <w:rsid w:val="001C6F21"/>
    <w:rsid w:val="001D4791"/>
    <w:rsid w:val="001E1134"/>
    <w:rsid w:val="002068F0"/>
    <w:rsid w:val="002131AD"/>
    <w:rsid w:val="00213302"/>
    <w:rsid w:val="00234BC8"/>
    <w:rsid w:val="00255F0A"/>
    <w:rsid w:val="00260902"/>
    <w:rsid w:val="0026682F"/>
    <w:rsid w:val="00267D11"/>
    <w:rsid w:val="002742EE"/>
    <w:rsid w:val="00287B8D"/>
    <w:rsid w:val="00291786"/>
    <w:rsid w:val="0029388D"/>
    <w:rsid w:val="002E3884"/>
    <w:rsid w:val="002E5311"/>
    <w:rsid w:val="00340D26"/>
    <w:rsid w:val="0035424A"/>
    <w:rsid w:val="00362F3B"/>
    <w:rsid w:val="00367B30"/>
    <w:rsid w:val="00381625"/>
    <w:rsid w:val="00386F50"/>
    <w:rsid w:val="003C0B13"/>
    <w:rsid w:val="003C5BD8"/>
    <w:rsid w:val="003E4EB7"/>
    <w:rsid w:val="003E7D49"/>
    <w:rsid w:val="00400A2E"/>
    <w:rsid w:val="00410ECF"/>
    <w:rsid w:val="0041454F"/>
    <w:rsid w:val="0041506D"/>
    <w:rsid w:val="00427E2F"/>
    <w:rsid w:val="00431380"/>
    <w:rsid w:val="00435BFA"/>
    <w:rsid w:val="004456A9"/>
    <w:rsid w:val="00476C2A"/>
    <w:rsid w:val="0049613A"/>
    <w:rsid w:val="004974EB"/>
    <w:rsid w:val="004C6148"/>
    <w:rsid w:val="004D634E"/>
    <w:rsid w:val="004F68B1"/>
    <w:rsid w:val="00507DEB"/>
    <w:rsid w:val="0051448E"/>
    <w:rsid w:val="00520E7B"/>
    <w:rsid w:val="00520F4B"/>
    <w:rsid w:val="00524FF3"/>
    <w:rsid w:val="00527F03"/>
    <w:rsid w:val="00527F8A"/>
    <w:rsid w:val="005328B5"/>
    <w:rsid w:val="0055738F"/>
    <w:rsid w:val="0057069E"/>
    <w:rsid w:val="005716E0"/>
    <w:rsid w:val="00580ABD"/>
    <w:rsid w:val="00582CAB"/>
    <w:rsid w:val="00586156"/>
    <w:rsid w:val="005A74CD"/>
    <w:rsid w:val="005D201C"/>
    <w:rsid w:val="005F6860"/>
    <w:rsid w:val="00600B37"/>
    <w:rsid w:val="00601F79"/>
    <w:rsid w:val="00606AEB"/>
    <w:rsid w:val="006169B9"/>
    <w:rsid w:val="00620296"/>
    <w:rsid w:val="00623263"/>
    <w:rsid w:val="00632162"/>
    <w:rsid w:val="00674A20"/>
    <w:rsid w:val="006A75A0"/>
    <w:rsid w:val="006A7BCE"/>
    <w:rsid w:val="006B3A59"/>
    <w:rsid w:val="006C1D96"/>
    <w:rsid w:val="006F74CC"/>
    <w:rsid w:val="007130B5"/>
    <w:rsid w:val="00717CCC"/>
    <w:rsid w:val="00722924"/>
    <w:rsid w:val="007366C0"/>
    <w:rsid w:val="00737E91"/>
    <w:rsid w:val="007423BC"/>
    <w:rsid w:val="0075364E"/>
    <w:rsid w:val="0076617C"/>
    <w:rsid w:val="00794448"/>
    <w:rsid w:val="00796D0B"/>
    <w:rsid w:val="007A7F82"/>
    <w:rsid w:val="007B146F"/>
    <w:rsid w:val="007C0939"/>
    <w:rsid w:val="007C370A"/>
    <w:rsid w:val="007E707C"/>
    <w:rsid w:val="007E7769"/>
    <w:rsid w:val="007F0EAB"/>
    <w:rsid w:val="007F4E48"/>
    <w:rsid w:val="00807817"/>
    <w:rsid w:val="00810100"/>
    <w:rsid w:val="0081070E"/>
    <w:rsid w:val="00812916"/>
    <w:rsid w:val="00820856"/>
    <w:rsid w:val="008208F6"/>
    <w:rsid w:val="008260B0"/>
    <w:rsid w:val="00835C35"/>
    <w:rsid w:val="00850D53"/>
    <w:rsid w:val="00874392"/>
    <w:rsid w:val="008774BE"/>
    <w:rsid w:val="0088056A"/>
    <w:rsid w:val="0088116B"/>
    <w:rsid w:val="00893F41"/>
    <w:rsid w:val="008A43E0"/>
    <w:rsid w:val="008B7F3F"/>
    <w:rsid w:val="008C6866"/>
    <w:rsid w:val="008D60F7"/>
    <w:rsid w:val="008E6708"/>
    <w:rsid w:val="008F345D"/>
    <w:rsid w:val="008F376B"/>
    <w:rsid w:val="00901E73"/>
    <w:rsid w:val="00904028"/>
    <w:rsid w:val="00932876"/>
    <w:rsid w:val="00935E08"/>
    <w:rsid w:val="00972BE8"/>
    <w:rsid w:val="00983EFA"/>
    <w:rsid w:val="009A63A0"/>
    <w:rsid w:val="009C4956"/>
    <w:rsid w:val="009C6D85"/>
    <w:rsid w:val="009D4B19"/>
    <w:rsid w:val="009D5294"/>
    <w:rsid w:val="009E2C20"/>
    <w:rsid w:val="009F0072"/>
    <w:rsid w:val="00A06BA2"/>
    <w:rsid w:val="00A238B6"/>
    <w:rsid w:val="00A3065A"/>
    <w:rsid w:val="00A40DBD"/>
    <w:rsid w:val="00A45641"/>
    <w:rsid w:val="00A5043D"/>
    <w:rsid w:val="00A64E9E"/>
    <w:rsid w:val="00AA685A"/>
    <w:rsid w:val="00AB425B"/>
    <w:rsid w:val="00AB6DBE"/>
    <w:rsid w:val="00AC15EF"/>
    <w:rsid w:val="00AC3EFC"/>
    <w:rsid w:val="00AD444A"/>
    <w:rsid w:val="00AE6490"/>
    <w:rsid w:val="00AE7EB7"/>
    <w:rsid w:val="00AF39CF"/>
    <w:rsid w:val="00B17212"/>
    <w:rsid w:val="00B32506"/>
    <w:rsid w:val="00B42AB1"/>
    <w:rsid w:val="00B563DD"/>
    <w:rsid w:val="00B64F64"/>
    <w:rsid w:val="00B84F3B"/>
    <w:rsid w:val="00BA11DA"/>
    <w:rsid w:val="00BA2B73"/>
    <w:rsid w:val="00BD0F8A"/>
    <w:rsid w:val="00BF27FB"/>
    <w:rsid w:val="00C056B0"/>
    <w:rsid w:val="00C23CDB"/>
    <w:rsid w:val="00C25B13"/>
    <w:rsid w:val="00C34C9F"/>
    <w:rsid w:val="00C44677"/>
    <w:rsid w:val="00C51EDA"/>
    <w:rsid w:val="00C93F67"/>
    <w:rsid w:val="00CB06D4"/>
    <w:rsid w:val="00CB37F3"/>
    <w:rsid w:val="00CD6583"/>
    <w:rsid w:val="00CE638D"/>
    <w:rsid w:val="00CE6983"/>
    <w:rsid w:val="00D05C13"/>
    <w:rsid w:val="00D10724"/>
    <w:rsid w:val="00D13C75"/>
    <w:rsid w:val="00D15E27"/>
    <w:rsid w:val="00D2656E"/>
    <w:rsid w:val="00D31AEF"/>
    <w:rsid w:val="00D42D98"/>
    <w:rsid w:val="00D43F0A"/>
    <w:rsid w:val="00D6066F"/>
    <w:rsid w:val="00D76286"/>
    <w:rsid w:val="00D8305F"/>
    <w:rsid w:val="00DC2442"/>
    <w:rsid w:val="00DC6F4D"/>
    <w:rsid w:val="00DF3E88"/>
    <w:rsid w:val="00DF4FF0"/>
    <w:rsid w:val="00E06B08"/>
    <w:rsid w:val="00E357FC"/>
    <w:rsid w:val="00E52C13"/>
    <w:rsid w:val="00E571C2"/>
    <w:rsid w:val="00E605EA"/>
    <w:rsid w:val="00E61735"/>
    <w:rsid w:val="00E64FFE"/>
    <w:rsid w:val="00E716CB"/>
    <w:rsid w:val="00E74BCC"/>
    <w:rsid w:val="00E836D1"/>
    <w:rsid w:val="00E85198"/>
    <w:rsid w:val="00E958B0"/>
    <w:rsid w:val="00EA06DD"/>
    <w:rsid w:val="00EA2860"/>
    <w:rsid w:val="00EC720F"/>
    <w:rsid w:val="00ED563C"/>
    <w:rsid w:val="00ED6A14"/>
    <w:rsid w:val="00EF15B3"/>
    <w:rsid w:val="00EF786E"/>
    <w:rsid w:val="00F00BC4"/>
    <w:rsid w:val="00F012A4"/>
    <w:rsid w:val="00F22702"/>
    <w:rsid w:val="00F34287"/>
    <w:rsid w:val="00F460EB"/>
    <w:rsid w:val="00F46141"/>
    <w:rsid w:val="00F47E3B"/>
    <w:rsid w:val="00F5209A"/>
    <w:rsid w:val="00F5427F"/>
    <w:rsid w:val="00F5785D"/>
    <w:rsid w:val="00F63972"/>
    <w:rsid w:val="00F67F4B"/>
    <w:rsid w:val="00F753EB"/>
    <w:rsid w:val="00F85BD3"/>
    <w:rsid w:val="00F8682C"/>
    <w:rsid w:val="00F93256"/>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9D4B19"/>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4B19"/>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64690074">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8307">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767573240">
      <w:bodyDiv w:val="1"/>
      <w:marLeft w:val="0"/>
      <w:marRight w:val="0"/>
      <w:marTop w:val="0"/>
      <w:marBottom w:val="0"/>
      <w:divBdr>
        <w:top w:val="none" w:sz="0" w:space="0" w:color="auto"/>
        <w:left w:val="none" w:sz="0" w:space="0" w:color="auto"/>
        <w:bottom w:val="none" w:sz="0" w:space="0" w:color="auto"/>
        <w:right w:val="none" w:sz="0" w:space="0" w:color="auto"/>
      </w:divBdr>
    </w:div>
    <w:div w:id="1826702282">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4.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 -2</cp:lastModifiedBy>
  <cp:revision>2</cp:revision>
  <cp:lastPrinted>2020-02-10T06:14:00Z</cp:lastPrinted>
  <dcterms:created xsi:type="dcterms:W3CDTF">2021-05-12T05:40:00Z</dcterms:created>
  <dcterms:modified xsi:type="dcterms:W3CDTF">2021-05-12T05:40:00Z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